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1804E" w14:textId="57389031" w:rsidR="00595505" w:rsidRPr="009D666B" w:rsidRDefault="00595505" w:rsidP="00595505">
      <w:pPr>
        <w:pBdr>
          <w:bottom w:val="single" w:sz="4" w:space="1" w:color="auto"/>
        </w:pBdr>
        <w:jc w:val="both"/>
        <w:rPr>
          <w:rFonts w:cs="Arial"/>
          <w:b/>
          <w:lang w:eastAsia="en-US"/>
        </w:rPr>
      </w:pPr>
      <w:r w:rsidRPr="009D666B">
        <w:rPr>
          <w:rFonts w:cs="Arial"/>
          <w:b/>
          <w:lang w:eastAsia="en-US"/>
        </w:rPr>
        <w:t xml:space="preserve">NOTA </w:t>
      </w:r>
      <w:r>
        <w:rPr>
          <w:rFonts w:cs="Arial"/>
          <w:b/>
          <w:lang w:eastAsia="en-US"/>
        </w:rPr>
        <w:t xml:space="preserve">SOBRE </w:t>
      </w:r>
      <w:r w:rsidR="00EF7FFD">
        <w:rPr>
          <w:rFonts w:cs="Arial"/>
          <w:b/>
          <w:lang w:eastAsia="en-US"/>
        </w:rPr>
        <w:t xml:space="preserve">LAS ENMIENDAS A LOS ANEXOS DEL CONVENIO DE BASILEA </w:t>
      </w:r>
      <w:r w:rsidR="00AD642A">
        <w:rPr>
          <w:rFonts w:cs="Arial"/>
          <w:b/>
          <w:lang w:eastAsia="en-US"/>
        </w:rPr>
        <w:t>RELATIVAS A LOS</w:t>
      </w:r>
      <w:r w:rsidR="00EF7FFD">
        <w:rPr>
          <w:rFonts w:cs="Arial"/>
          <w:b/>
          <w:lang w:eastAsia="en-US"/>
        </w:rPr>
        <w:t xml:space="preserve"> RESIDUOS DE APARATOS ELÉCTRICOS Y ELECTRÓNICOS Y ACTOS DELEGADOS DE LA COMISIÓN EUROPEA</w:t>
      </w:r>
    </w:p>
    <w:p w14:paraId="30D3EC0E" w14:textId="77777777" w:rsidR="00595505" w:rsidRPr="009D666B" w:rsidRDefault="00595505" w:rsidP="00595505">
      <w:pPr>
        <w:jc w:val="both"/>
        <w:rPr>
          <w:rFonts w:ascii="Calibri" w:hAnsi="Calibri" w:cs="Calibri"/>
          <w:b/>
          <w:lang w:eastAsia="en-US"/>
        </w:rPr>
      </w:pPr>
    </w:p>
    <w:p w14:paraId="154B1DD6" w14:textId="4D349BCC" w:rsidR="00D06E61" w:rsidRDefault="00D06E61" w:rsidP="00D06E61">
      <w:pPr>
        <w:jc w:val="both"/>
        <w:rPr>
          <w:rFonts w:eastAsia="Aptos" w:cs="Arial"/>
          <w:sz w:val="22"/>
          <w:szCs w:val="22"/>
          <w:lang w:eastAsia="en-US"/>
          <w14:ligatures w14:val="standardContextual"/>
        </w:rPr>
      </w:pPr>
      <w:r w:rsidRPr="00D06E61">
        <w:rPr>
          <w:rFonts w:eastAsia="Aptos" w:cs="Arial"/>
          <w:sz w:val="22"/>
          <w:szCs w:val="22"/>
          <w:lang w:eastAsia="en-US"/>
          <w14:ligatures w14:val="standardContextual"/>
        </w:rPr>
        <w:t xml:space="preserve">La Comisión Europea adoptó el pasado 18 de octubre, los actos delegados que incorporan la </w:t>
      </w:r>
      <w:hyperlink r:id="rId7" w:history="1">
        <w:r w:rsidRPr="002A0809">
          <w:rPr>
            <w:rStyle w:val="Hipervnculo"/>
            <w:rFonts w:eastAsia="Aptos" w:cs="Arial"/>
            <w:sz w:val="22"/>
            <w:szCs w:val="22"/>
            <w:lang w:eastAsia="en-US"/>
            <w14:ligatures w14:val="standardContextual"/>
          </w:rPr>
          <w:t>enmienda de los RAEE del Convenio de Basilea al Reglamento europeo de traslados de residuos</w:t>
        </w:r>
      </w:hyperlink>
      <w:r w:rsidRPr="00D06E61">
        <w:rPr>
          <w:rFonts w:eastAsia="Aptos" w:cs="Arial"/>
          <w:sz w:val="22"/>
          <w:szCs w:val="22"/>
          <w:lang w:eastAsia="en-US"/>
          <w14:ligatures w14:val="standardContextual"/>
        </w:rPr>
        <w:t xml:space="preserve">. </w:t>
      </w:r>
    </w:p>
    <w:p w14:paraId="780E6D23" w14:textId="77777777" w:rsidR="00AD642A" w:rsidRPr="00D06E61" w:rsidRDefault="00AD642A" w:rsidP="00D06E61">
      <w:pPr>
        <w:jc w:val="both"/>
        <w:rPr>
          <w:rFonts w:eastAsia="Aptos" w:cs="Arial"/>
          <w:sz w:val="22"/>
          <w:szCs w:val="22"/>
          <w:lang w:eastAsia="en-US"/>
          <w14:ligatures w14:val="standardContextual"/>
        </w:rPr>
      </w:pPr>
    </w:p>
    <w:p w14:paraId="3B578868" w14:textId="77777777" w:rsidR="00624872" w:rsidRDefault="00D06E61" w:rsidP="00D06E61">
      <w:pPr>
        <w:jc w:val="both"/>
        <w:rPr>
          <w:rFonts w:eastAsia="Aptos" w:cs="Arial"/>
          <w:sz w:val="22"/>
          <w:szCs w:val="22"/>
          <w:lang w:eastAsia="en-US"/>
          <w14:ligatures w14:val="standardContextual"/>
        </w:rPr>
      </w:pPr>
      <w:r w:rsidRPr="00D06E61">
        <w:rPr>
          <w:rFonts w:eastAsia="Aptos" w:cs="Arial"/>
          <w:sz w:val="22"/>
          <w:szCs w:val="22"/>
          <w:lang w:eastAsia="en-US"/>
          <w14:ligatures w14:val="standardContextual"/>
        </w:rPr>
        <w:t xml:space="preserve">El Reglamento 2024/1157, de 11 de abril de 2024, relativo a los traslados de residuos y por el que se deroga el Reglamento 1013 entró en vigor el 20/05/2024 y será aplicable a partir del 21/05/2026. </w:t>
      </w:r>
    </w:p>
    <w:p w14:paraId="0AD2586F" w14:textId="77777777" w:rsidR="00624872" w:rsidRDefault="00D06E61" w:rsidP="00D06E61">
      <w:pPr>
        <w:jc w:val="both"/>
        <w:rPr>
          <w:rFonts w:eastAsia="Aptos" w:cs="Arial"/>
          <w:sz w:val="22"/>
          <w:szCs w:val="22"/>
          <w:lang w:eastAsia="en-US"/>
          <w14:ligatures w14:val="standardContextual"/>
        </w:rPr>
      </w:pPr>
      <w:r w:rsidRPr="00D06E61">
        <w:rPr>
          <w:rFonts w:eastAsia="Aptos" w:cs="Arial"/>
          <w:sz w:val="22"/>
          <w:szCs w:val="22"/>
          <w:lang w:eastAsia="en-US"/>
          <w14:ligatures w14:val="standardContextual"/>
        </w:rPr>
        <w:t xml:space="preserve">Aunque el Reglamento 1013/2006 ha sido derogado por el Reglamento de 2024/1157, por mandato del nuevo reglamento de traslados seguirá activo hasta 21 de mayo de 2026 con las excepciones que se recogen en los artículos 85 y 86 del nuevo reglamento. </w:t>
      </w:r>
    </w:p>
    <w:p w14:paraId="2CE85AF0" w14:textId="77777777" w:rsidR="00624872" w:rsidRDefault="00624872" w:rsidP="00D06E61">
      <w:pPr>
        <w:jc w:val="both"/>
        <w:rPr>
          <w:rFonts w:eastAsia="Aptos" w:cs="Arial"/>
          <w:sz w:val="22"/>
          <w:szCs w:val="22"/>
          <w:lang w:eastAsia="en-US"/>
          <w14:ligatures w14:val="standardContextual"/>
        </w:rPr>
      </w:pPr>
    </w:p>
    <w:p w14:paraId="093400A8" w14:textId="3B043EC2" w:rsidR="00D06E61" w:rsidRDefault="00D06E61" w:rsidP="00D06E61">
      <w:pPr>
        <w:jc w:val="both"/>
        <w:rPr>
          <w:rFonts w:eastAsia="Aptos" w:cs="Arial"/>
          <w:sz w:val="22"/>
          <w:szCs w:val="22"/>
          <w:lang w:eastAsia="en-US"/>
          <w14:ligatures w14:val="standardContextual"/>
        </w:rPr>
      </w:pPr>
      <w:r w:rsidRPr="00D06E61">
        <w:rPr>
          <w:rFonts w:eastAsia="Aptos" w:cs="Arial"/>
          <w:sz w:val="22"/>
          <w:szCs w:val="22"/>
          <w:lang w:eastAsia="en-US"/>
          <w14:ligatures w14:val="standardContextual"/>
        </w:rPr>
        <w:t xml:space="preserve">Existe, por tanto, un calendario escalonado de entrada en vigor y una convivencia temporal hasta 2026 entre ambos reglamentos en muchas disposiciones. Es por esta razón que la Comisión Europea ha adoptado actos delegados para enmendar el Reglamento 1013/2006 y actos delegados para la enmienda al Reglamento 2024/1157. </w:t>
      </w:r>
    </w:p>
    <w:p w14:paraId="52504D0D" w14:textId="77777777" w:rsidR="00624872" w:rsidRDefault="00624872" w:rsidP="00D06E61">
      <w:pPr>
        <w:jc w:val="both"/>
        <w:rPr>
          <w:rFonts w:eastAsia="Aptos" w:cs="Arial"/>
          <w:sz w:val="22"/>
          <w:szCs w:val="22"/>
          <w:lang w:eastAsia="en-US"/>
          <w14:ligatures w14:val="standardContextual"/>
        </w:rPr>
      </w:pPr>
    </w:p>
    <w:p w14:paraId="1621AC20" w14:textId="77777777" w:rsidR="00624872" w:rsidRPr="00D06E61" w:rsidRDefault="00624872" w:rsidP="00624872">
      <w:pPr>
        <w:jc w:val="both"/>
        <w:rPr>
          <w:rFonts w:eastAsia="Aptos" w:cs="Arial"/>
          <w:sz w:val="22"/>
          <w:szCs w:val="22"/>
          <w:lang w:eastAsia="en-US"/>
          <w14:ligatures w14:val="standardContextual"/>
        </w:rPr>
      </w:pPr>
      <w:r>
        <w:rPr>
          <w:rFonts w:eastAsia="Aptos" w:cs="Arial"/>
          <w:sz w:val="22"/>
          <w:szCs w:val="22"/>
          <w:lang w:eastAsia="en-US"/>
          <w14:ligatures w14:val="standardContextual"/>
        </w:rPr>
        <w:t>L</w:t>
      </w:r>
      <w:r w:rsidRPr="00D06E61">
        <w:rPr>
          <w:rFonts w:eastAsia="Aptos" w:cs="Arial"/>
          <w:sz w:val="22"/>
          <w:szCs w:val="22"/>
          <w:lang w:eastAsia="en-US"/>
          <w14:ligatures w14:val="standardContextual"/>
        </w:rPr>
        <w:t>os citados actos delegados</w:t>
      </w:r>
      <w:r>
        <w:rPr>
          <w:rFonts w:eastAsia="Aptos" w:cs="Arial"/>
          <w:sz w:val="22"/>
          <w:szCs w:val="22"/>
          <w:lang w:eastAsia="en-US"/>
          <w14:ligatures w14:val="standardContextual"/>
        </w:rPr>
        <w:t xml:space="preserve"> están disponibles</w:t>
      </w:r>
      <w:r w:rsidRPr="00D06E61">
        <w:rPr>
          <w:rFonts w:eastAsia="Aptos" w:cs="Arial"/>
          <w:sz w:val="22"/>
          <w:szCs w:val="22"/>
          <w:lang w:eastAsia="en-US"/>
          <w14:ligatures w14:val="standardContextual"/>
        </w:rPr>
        <w:t xml:space="preserve"> en los siguientes enlaces:</w:t>
      </w:r>
    </w:p>
    <w:p w14:paraId="24D4F88E" w14:textId="2DF322B8" w:rsidR="00624872" w:rsidRPr="006B5796" w:rsidRDefault="006B5796" w:rsidP="006B5796">
      <w:pPr>
        <w:pStyle w:val="Prrafodelista"/>
        <w:numPr>
          <w:ilvl w:val="0"/>
          <w:numId w:val="25"/>
        </w:numPr>
        <w:jc w:val="both"/>
        <w:rPr>
          <w:rFonts w:eastAsia="Aptos" w:cs="Arial"/>
          <w:sz w:val="22"/>
          <w:szCs w:val="22"/>
          <w:lang w:eastAsia="en-US"/>
          <w14:ligatures w14:val="standardContextual"/>
        </w:rPr>
      </w:pPr>
      <w:hyperlink r:id="rId8" w:history="1">
        <w:r w:rsidRPr="006B5796">
          <w:rPr>
            <w:rStyle w:val="Hipervnculo"/>
            <w:rFonts w:eastAsia="Aptos" w:cs="Arial"/>
            <w:sz w:val="22"/>
            <w:szCs w:val="22"/>
            <w:lang w:eastAsia="en-US"/>
            <w14:ligatures w14:val="standardContextual"/>
          </w:rPr>
          <w:t>https://ec.europa.eu/info/law/better-regulation/have-your-say/initiatives/14176-Comercio-de-residuos-de-aparatos-electricos-y-electronicos-1-enmiendas-a-los-anexos-del-Convenio-de-Basilea_es</w:t>
        </w:r>
      </w:hyperlink>
      <w:r w:rsidRPr="006B5796">
        <w:rPr>
          <w:rFonts w:eastAsia="Aptos" w:cs="Arial"/>
          <w:sz w:val="22"/>
          <w:szCs w:val="22"/>
          <w:lang w:eastAsia="en-US"/>
          <w14:ligatures w14:val="standardContextual"/>
        </w:rPr>
        <w:t xml:space="preserve"> </w:t>
      </w:r>
    </w:p>
    <w:p w14:paraId="62D74B56" w14:textId="6314FA8B" w:rsidR="00D06E61" w:rsidRPr="006B5796" w:rsidRDefault="006B5796" w:rsidP="006B5796">
      <w:pPr>
        <w:pStyle w:val="Prrafodelista"/>
        <w:numPr>
          <w:ilvl w:val="0"/>
          <w:numId w:val="25"/>
        </w:numPr>
        <w:jc w:val="both"/>
        <w:rPr>
          <w:rFonts w:eastAsia="Aptos" w:cs="Arial"/>
          <w:sz w:val="22"/>
          <w:szCs w:val="22"/>
          <w:lang w:eastAsia="en-US"/>
          <w14:ligatures w14:val="standardContextual"/>
        </w:rPr>
      </w:pPr>
      <w:hyperlink r:id="rId9" w:history="1">
        <w:r w:rsidRPr="001148CC">
          <w:rPr>
            <w:rStyle w:val="Hipervnculo"/>
            <w:rFonts w:eastAsia="Aptos" w:cs="Arial"/>
            <w:sz w:val="22"/>
            <w:szCs w:val="22"/>
            <w:lang w:eastAsia="en-US"/>
            <w14:ligatures w14:val="standardContextual"/>
          </w:rPr>
          <w:t>https://ec.europa.eu/info/law/better-regulation/have-your-say/initiatives/14174-Comercio-de-residuos-de-aparatos-electricos-y-electronicos-2-enmiendas-a-los-anexos-del-Convenio-de-Basilea_es</w:t>
        </w:r>
      </w:hyperlink>
    </w:p>
    <w:p w14:paraId="49027D90" w14:textId="77777777" w:rsidR="006B5796" w:rsidRDefault="006B5796" w:rsidP="00624872">
      <w:pPr>
        <w:rPr>
          <w:rFonts w:eastAsia="Aptos" w:cs="Arial"/>
          <w:sz w:val="22"/>
          <w:szCs w:val="22"/>
          <w:lang w:eastAsia="en-US"/>
          <w14:ligatures w14:val="standardContextual"/>
        </w:rPr>
      </w:pPr>
    </w:p>
    <w:p w14:paraId="3EECD7FC" w14:textId="36DCA068" w:rsidR="00624872" w:rsidRPr="006B5796" w:rsidRDefault="00D06E61" w:rsidP="006B5796">
      <w:pPr>
        <w:jc w:val="both"/>
        <w:rPr>
          <w:rFonts w:eastAsia="Aptos" w:cs="Arial"/>
          <w:sz w:val="22"/>
          <w:szCs w:val="22"/>
          <w:lang w:eastAsia="en-US"/>
          <w14:ligatures w14:val="standardContextual"/>
        </w:rPr>
      </w:pPr>
      <w:r w:rsidRPr="00D06E61">
        <w:rPr>
          <w:rFonts w:eastAsia="Aptos" w:cs="Arial"/>
          <w:sz w:val="22"/>
          <w:szCs w:val="22"/>
          <w:lang w:eastAsia="en-US"/>
          <w14:ligatures w14:val="standardContextual"/>
        </w:rPr>
        <w:t xml:space="preserve">Mediante estos actos se procede </w:t>
      </w:r>
      <w:r w:rsidRPr="006B5796">
        <w:rPr>
          <w:rFonts w:eastAsia="Aptos" w:cs="Arial"/>
          <w:sz w:val="22"/>
          <w:szCs w:val="22"/>
          <w:lang w:eastAsia="en-US"/>
          <w14:ligatures w14:val="standardContextual"/>
        </w:rPr>
        <w:t>a</w:t>
      </w:r>
      <w:r w:rsidR="00624872" w:rsidRPr="006B5796">
        <w:rPr>
          <w:rFonts w:eastAsia="Aptos" w:cs="Arial"/>
          <w:sz w:val="22"/>
          <w:szCs w:val="22"/>
          <w:lang w:eastAsia="en-US"/>
          <w14:ligatures w14:val="standardContextual"/>
        </w:rPr>
        <w:t xml:space="preserve"> incorporar las enmiendas a los RAEE del Convenio de Basilea al derecho europeo modificando así tanto el Reglamento 1013/2006, como el Reglamento 2024/1157:</w:t>
      </w:r>
    </w:p>
    <w:p w14:paraId="1F26A38F" w14:textId="77777777" w:rsidR="00624872" w:rsidRPr="006B5796" w:rsidRDefault="00624872" w:rsidP="006B5796">
      <w:pPr>
        <w:jc w:val="both"/>
        <w:rPr>
          <w:rFonts w:eastAsia="Aptos" w:cs="Arial"/>
          <w:sz w:val="22"/>
          <w:szCs w:val="22"/>
          <w:lang w:eastAsia="en-US"/>
          <w14:ligatures w14:val="standardContextual"/>
        </w:rPr>
      </w:pPr>
    </w:p>
    <w:p w14:paraId="2111CE8B" w14:textId="77777777" w:rsidR="00624872" w:rsidRPr="006B5796" w:rsidRDefault="00624872" w:rsidP="006B5796">
      <w:pPr>
        <w:jc w:val="both"/>
        <w:rPr>
          <w:rFonts w:eastAsia="Aptos" w:cs="Arial"/>
          <w:sz w:val="22"/>
          <w:szCs w:val="22"/>
          <w:lang w:eastAsia="en-US"/>
          <w14:ligatures w14:val="standardContextual"/>
        </w:rPr>
      </w:pPr>
      <w:r w:rsidRPr="006B5796">
        <w:rPr>
          <w:rFonts w:eastAsia="Aptos" w:cs="Arial"/>
          <w:sz w:val="22"/>
          <w:szCs w:val="22"/>
          <w:lang w:eastAsia="en-US"/>
          <w14:ligatures w14:val="standardContextual"/>
        </w:rPr>
        <w:t xml:space="preserve">De tal manera, que, </w:t>
      </w:r>
      <w:r w:rsidRPr="00E7627E">
        <w:rPr>
          <w:rFonts w:eastAsia="Aptos" w:cs="Arial"/>
          <w:sz w:val="22"/>
          <w:szCs w:val="22"/>
          <w:u w:val="single"/>
          <w:lang w:eastAsia="en-US"/>
          <w14:ligatures w14:val="standardContextual"/>
        </w:rPr>
        <w:t>a partir del 1 de enero de 2025</w:t>
      </w:r>
      <w:r w:rsidRPr="006B5796">
        <w:rPr>
          <w:rFonts w:eastAsia="Aptos" w:cs="Arial"/>
          <w:sz w:val="22"/>
          <w:szCs w:val="22"/>
          <w:lang w:eastAsia="en-US"/>
          <w14:ligatures w14:val="standardContextual"/>
        </w:rPr>
        <w:t>:</w:t>
      </w:r>
    </w:p>
    <w:p w14:paraId="432D6085" w14:textId="1F89F2EC" w:rsidR="00624872" w:rsidRPr="006B5796" w:rsidRDefault="00624872" w:rsidP="00624872">
      <w:pPr>
        <w:numPr>
          <w:ilvl w:val="0"/>
          <w:numId w:val="22"/>
        </w:numPr>
        <w:rPr>
          <w:sz w:val="22"/>
          <w:szCs w:val="22"/>
        </w:rPr>
      </w:pPr>
      <w:r w:rsidRPr="006B5796">
        <w:rPr>
          <w:sz w:val="22"/>
          <w:szCs w:val="22"/>
        </w:rPr>
        <w:t xml:space="preserve">Se incorporan dos nuevas entradas: </w:t>
      </w:r>
      <w:r w:rsidRPr="00E7627E">
        <w:rPr>
          <w:b/>
          <w:bCs/>
          <w:sz w:val="22"/>
          <w:szCs w:val="22"/>
        </w:rPr>
        <w:t>A1181 (peligroso) e Y49 (no peligroso)</w:t>
      </w:r>
      <w:r w:rsidR="00490EB9">
        <w:rPr>
          <w:sz w:val="22"/>
          <w:szCs w:val="22"/>
        </w:rPr>
        <w:t>, ambos sujetos al procedimiento de notificación y autorización previas.</w:t>
      </w:r>
    </w:p>
    <w:p w14:paraId="3EDCA6BB" w14:textId="77777777" w:rsidR="00624872" w:rsidRPr="006B5796" w:rsidRDefault="00624872" w:rsidP="00624872">
      <w:pPr>
        <w:numPr>
          <w:ilvl w:val="0"/>
          <w:numId w:val="22"/>
        </w:numPr>
        <w:rPr>
          <w:sz w:val="22"/>
          <w:szCs w:val="22"/>
          <w:lang w:eastAsia="en-US"/>
        </w:rPr>
      </w:pPr>
      <w:r w:rsidRPr="00E7627E">
        <w:rPr>
          <w:b/>
          <w:bCs/>
          <w:sz w:val="22"/>
          <w:szCs w:val="22"/>
        </w:rPr>
        <w:t>Se eliminan las entradas: B1110, A1180 y A4020</w:t>
      </w:r>
      <w:r w:rsidRPr="006B5796">
        <w:rPr>
          <w:sz w:val="22"/>
          <w:szCs w:val="22"/>
        </w:rPr>
        <w:t>.</w:t>
      </w:r>
    </w:p>
    <w:p w14:paraId="31F53AA9" w14:textId="77777777" w:rsidR="00624872" w:rsidRPr="006B5796" w:rsidRDefault="00624872" w:rsidP="00624872">
      <w:pPr>
        <w:numPr>
          <w:ilvl w:val="0"/>
          <w:numId w:val="22"/>
        </w:numPr>
        <w:rPr>
          <w:sz w:val="22"/>
          <w:szCs w:val="22"/>
        </w:rPr>
      </w:pPr>
      <w:r w:rsidRPr="00E7627E">
        <w:rPr>
          <w:b/>
          <w:bCs/>
          <w:sz w:val="22"/>
          <w:szCs w:val="22"/>
        </w:rPr>
        <w:t>Permitir</w:t>
      </w:r>
      <w:r w:rsidRPr="006B5796">
        <w:rPr>
          <w:sz w:val="22"/>
          <w:szCs w:val="22"/>
        </w:rPr>
        <w:t xml:space="preserve"> el transporte de residuos electrónicos no peligrosos clasificados en las entradas </w:t>
      </w:r>
      <w:r w:rsidRPr="00E7627E">
        <w:rPr>
          <w:b/>
          <w:bCs/>
          <w:sz w:val="22"/>
          <w:szCs w:val="22"/>
        </w:rPr>
        <w:t>GC010 y GC020</w:t>
      </w:r>
      <w:r w:rsidRPr="006B5796">
        <w:rPr>
          <w:sz w:val="22"/>
          <w:szCs w:val="22"/>
        </w:rPr>
        <w:t xml:space="preserve"> </w:t>
      </w:r>
      <w:r w:rsidRPr="006B5796">
        <w:rPr>
          <w:b/>
          <w:bCs/>
          <w:sz w:val="22"/>
          <w:szCs w:val="22"/>
        </w:rPr>
        <w:t>dentro</w:t>
      </w:r>
      <w:r w:rsidRPr="006B5796">
        <w:rPr>
          <w:sz w:val="22"/>
          <w:szCs w:val="22"/>
        </w:rPr>
        <w:t xml:space="preserve"> de la Unión de conformidad con los requisitos generales del artículo 18 del Reglamento (CE) n.º 1013/2006 hasta el 31 de diciembre de 2026, de conformidad con los requisitos generales del artículo 18 del Reglamento (CE) n.º 1013/2006</w:t>
      </w:r>
    </w:p>
    <w:p w14:paraId="163DA389" w14:textId="77777777" w:rsidR="00AD642A" w:rsidRPr="006B5796" w:rsidRDefault="00AD642A" w:rsidP="00D06E61">
      <w:pPr>
        <w:jc w:val="both"/>
        <w:rPr>
          <w:rFonts w:eastAsia="Aptos" w:cs="Arial"/>
          <w:sz w:val="22"/>
          <w:szCs w:val="22"/>
          <w:lang w:eastAsia="en-US"/>
          <w14:ligatures w14:val="standardContextual"/>
        </w:rPr>
      </w:pPr>
    </w:p>
    <w:p w14:paraId="7F440F44" w14:textId="09393196" w:rsidR="00FD56C6" w:rsidRDefault="00D06E61" w:rsidP="00D06E61">
      <w:pPr>
        <w:jc w:val="both"/>
      </w:pPr>
      <w:r w:rsidRPr="006B5796">
        <w:rPr>
          <w:rFonts w:eastAsia="Aptos" w:cs="Arial"/>
          <w:sz w:val="22"/>
          <w:szCs w:val="22"/>
          <w:lang w:eastAsia="en-US"/>
          <w14:ligatures w14:val="standardContextual"/>
        </w:rPr>
        <w:t xml:space="preserve">Por otro lado, en el ámbito de la OCDE, dado que no ha habido consenso para incorporar las modificaciones de los anexos del Convenio de Basilea relativas a los residuos eléctricos y electrónicos a los apéndices de la Decisión de la OCDE, se ha acordado que cada país miembro de la OCDE podrá aplicar controles a los movimientos transfronterizos de residuos electrónicos, de conformidad con su legislación nacional y el Derecho internacional. Por tanto, algunos países miembros podrán seguir aplicando las normas actuales de la Decisión de la OCDE sobre residuos electrónicos, mientras que otros podrán aplicar los controles del Convenio de Basilea. </w:t>
      </w:r>
      <w:r w:rsidRPr="00E7627E">
        <w:rPr>
          <w:rFonts w:eastAsia="Aptos" w:cs="Arial"/>
          <w:b/>
          <w:bCs/>
          <w:sz w:val="22"/>
          <w:szCs w:val="22"/>
          <w:lang w:eastAsia="en-US"/>
          <w14:ligatures w14:val="standardContextual"/>
        </w:rPr>
        <w:t>En el caso de los países miembro</w:t>
      </w:r>
      <w:r w:rsidR="006B5796" w:rsidRPr="00E7627E">
        <w:rPr>
          <w:rFonts w:eastAsia="Aptos" w:cs="Arial"/>
          <w:b/>
          <w:bCs/>
          <w:sz w:val="22"/>
          <w:szCs w:val="22"/>
          <w:lang w:eastAsia="en-US"/>
          <w14:ligatures w14:val="standardContextual"/>
        </w:rPr>
        <w:t>s</w:t>
      </w:r>
      <w:r w:rsidRPr="00E7627E">
        <w:rPr>
          <w:rFonts w:eastAsia="Aptos" w:cs="Arial"/>
          <w:b/>
          <w:bCs/>
          <w:sz w:val="22"/>
          <w:szCs w:val="22"/>
          <w:lang w:eastAsia="en-US"/>
          <w14:ligatures w14:val="standardContextual"/>
        </w:rPr>
        <w:t xml:space="preserve"> de la UE, las entradas GC010 y GC020 de los anexos III y IV de ambos reglamentos deben dejar de aplicarse para la exportación de residuos eléctricos y electrónicos de la Unión a terceros países y la importación de dichos residuos a la Unión desde terceros países</w:t>
      </w:r>
      <w:r w:rsidRPr="00D06E61">
        <w:rPr>
          <w:rFonts w:eastAsia="Aptos" w:cs="Arial"/>
          <w:sz w:val="22"/>
          <w:szCs w:val="22"/>
          <w:lang w:eastAsia="en-US"/>
          <w14:ligatures w14:val="standardContextual"/>
        </w:rPr>
        <w:t>.</w:t>
      </w:r>
    </w:p>
    <w:sectPr w:rsidR="00FD56C6" w:rsidSect="00294206">
      <w:headerReference w:type="even" r:id="rId10"/>
      <w:headerReference w:type="default" r:id="rId11"/>
      <w:footerReference w:type="even" r:id="rId12"/>
      <w:footerReference w:type="default" r:id="rId13"/>
      <w:headerReference w:type="first" r:id="rId14"/>
      <w:footerReference w:type="first" r:id="rId15"/>
      <w:pgSz w:w="11906" w:h="16838" w:code="9"/>
      <w:pgMar w:top="1701" w:right="1418" w:bottom="1418" w:left="1418"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97EF9" w14:textId="77777777" w:rsidR="00E65DCD" w:rsidRDefault="00E65DCD">
      <w:r>
        <w:separator/>
      </w:r>
    </w:p>
  </w:endnote>
  <w:endnote w:type="continuationSeparator" w:id="0">
    <w:p w14:paraId="4A119950" w14:textId="77777777" w:rsidR="00E65DCD" w:rsidRDefault="00E6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9C86E" w14:textId="77777777" w:rsidR="00AE055D" w:rsidRDefault="00764AF0">
    <w:pPr>
      <w:pStyle w:val="Piedepgina"/>
    </w:pPr>
    <w:r>
      <w:rPr>
        <w:noProof/>
      </w:rPr>
      <mc:AlternateContent>
        <mc:Choice Requires="wps">
          <w:drawing>
            <wp:anchor distT="0" distB="0" distL="114300" distR="114300" simplePos="0" relativeHeight="251629056" behindDoc="0" locked="1" layoutInCell="1" allowOverlap="1" wp14:anchorId="7C525DB4" wp14:editId="7EE1C237">
              <wp:simplePos x="0" y="0"/>
              <wp:positionH relativeFrom="page">
                <wp:posOffset>6172200</wp:posOffset>
              </wp:positionH>
              <wp:positionV relativeFrom="page">
                <wp:posOffset>9973310</wp:posOffset>
              </wp:positionV>
              <wp:extent cx="1322705" cy="219075"/>
              <wp:effectExtent l="0" t="635" r="1270" b="0"/>
              <wp:wrapNone/>
              <wp:docPr id="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9F54E" w14:textId="77777777" w:rsidR="00F44679" w:rsidRPr="008742C3" w:rsidRDefault="00AE055D" w:rsidP="005D7229">
                          <w:pPr>
                            <w:rPr>
                              <w:rFonts w:cs="Arial"/>
                              <w:sz w:val="10"/>
                              <w:szCs w:val="10"/>
                            </w:rPr>
                          </w:pPr>
                          <w:r w:rsidRPr="008742C3">
                            <w:rPr>
                              <w:rFonts w:cs="Arial"/>
                              <w:sz w:val="10"/>
                              <w:szCs w:val="10"/>
                            </w:rPr>
                            <w:t>MINISTERIO</w:t>
                          </w:r>
                        </w:p>
                        <w:p w14:paraId="2FD467E3" w14:textId="77777777" w:rsidR="00F44679" w:rsidRDefault="008A51DD" w:rsidP="008A51DD">
                          <w:pPr>
                            <w:rPr>
                              <w:rFonts w:cs="Arial"/>
                              <w:sz w:val="10"/>
                              <w:szCs w:val="10"/>
                            </w:rPr>
                          </w:pPr>
                          <w:r>
                            <w:rPr>
                              <w:rFonts w:cs="Arial"/>
                              <w:sz w:val="10"/>
                              <w:szCs w:val="10"/>
                            </w:rPr>
                            <w:t>PARA LA TRANSICIÓN ECOLÓGICA</w:t>
                          </w:r>
                        </w:p>
                        <w:p w14:paraId="02A22BF0" w14:textId="77777777" w:rsidR="008A51DD" w:rsidRPr="008742C3" w:rsidRDefault="00F44679" w:rsidP="008A51DD">
                          <w:pPr>
                            <w:rPr>
                              <w:rFonts w:cs="Arial"/>
                              <w:sz w:val="10"/>
                              <w:szCs w:val="10"/>
                            </w:rPr>
                          </w:pPr>
                          <w:r>
                            <w:rPr>
                              <w:rFonts w:cs="Arial"/>
                              <w:sz w:val="10"/>
                              <w:szCs w:val="10"/>
                            </w:rPr>
                            <w:t xml:space="preserve"> Y EL RETO DEMOGRÁFICO</w:t>
                          </w:r>
                        </w:p>
                        <w:p w14:paraId="227C39B5" w14:textId="77777777" w:rsidR="00AE055D" w:rsidRPr="008742C3" w:rsidRDefault="00AE055D" w:rsidP="005D7229">
                          <w:pPr>
                            <w:rPr>
                              <w:rFonts w:cs="Arial"/>
                              <w:sz w:val="10"/>
                              <w:szCs w:val="10"/>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525DB4" id="_x0000_t202" coordsize="21600,21600" o:spt="202" path="m,l,21600r21600,l21600,xe">
              <v:stroke joinstyle="miter"/>
              <v:path gradientshapeok="t" o:connecttype="rect"/>
            </v:shapetype>
            <v:shape id="Text Box 154" o:spid="_x0000_s1026" type="#_x0000_t202" style="position:absolute;margin-left:486pt;margin-top:785.3pt;width:104.15pt;height:17.2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yk1QEAAJEDAAAOAAAAZHJzL2Uyb0RvYy54bWysU9uO0zAQfUfiHyy/06RFy0LUdLXsqghp&#10;uUgLHzBxnMQi8Zix26R8PWOn6XJ5Q7xYY3t85pwz4+3NNPTiqMkbtKVcr3IptFVYG9uW8uuX/YvX&#10;UvgAtoYerS7lSXt5s3v+bDu6Qm+ww77WJBjE+mJ0pexCcEWWedXpAfwKnbZ82SANEHhLbVYTjIw+&#10;9Nkmz19lI1LtCJX2nk/v50u5S/hNo1X41DReB9GXkrmFtFJaq7hmuy0ULYHrjDrTgH9gMYCxXPQC&#10;dQ8BxIHMX1CDUYQem7BSOGTYNEbppIHVrPM/1Dx24HTSwuZ4d7HJ/z9Y9fH46D6TCNNbnLiBSYR3&#10;D6i+eWHxrgPb6lsiHDsNNRdeR8uy0fni/DRa7QsfQarxA9bcZDgETEBTQ0N0hXUKRucGnC6m6ykI&#10;FUu+3Gyu8yspFN9t1m/y66tUAorltSMf3mkcRAxKSdzUhA7HBx8iGyiWlFjM4t70fWpsb3874MR4&#10;kthHwjP1MFUTZ0cVFdYn1kE4zwnPNQcd0g8pRp6RUvrvByAtRf/eshdxoJaAlqBaArCKn5YySDGH&#10;d2EevIMj03aMvLh9y37tTZLyxOLMk/ueFJ5nNA7Wr/uU9fSTdj8BAAD//wMAUEsDBBQABgAIAAAA&#10;IQDCQ0GM4QAAAA4BAAAPAAAAZHJzL2Rvd25yZXYueG1sTI/BTsMwEETvSPyDtUhcELUd1LRN41QI&#10;wYUbhQs3N94mEfY6it0k9OtxT/S2oxnNvil3s7NsxCF0nhTIhQCGVHvTUaPg6/PtcQ0sRE1GW0+o&#10;4BcD7Krbm1IXxk/0geM+NiyVUCi0gjbGvuA81C06HRa+R0re0Q9OxySHhptBT6ncWZ4JkXOnO0of&#10;Wt3jS4v1z/7kFOTza//wvsFsOtd2pO+zlBGlUvd38/MWWMQ5/ofhgp/QoUpMB38iE5hVsFllaUtM&#10;xnIlcmCXiFyLJ2CHdOViKYFXJb+eUf0BAAD//wMAUEsBAi0AFAAGAAgAAAAhALaDOJL+AAAA4QEA&#10;ABMAAAAAAAAAAAAAAAAAAAAAAFtDb250ZW50X1R5cGVzXS54bWxQSwECLQAUAAYACAAAACEAOP0h&#10;/9YAAACUAQAACwAAAAAAAAAAAAAAAAAvAQAAX3JlbHMvLnJlbHNQSwECLQAUAAYACAAAACEAovLs&#10;pNUBAACRAwAADgAAAAAAAAAAAAAAAAAuAgAAZHJzL2Uyb0RvYy54bWxQSwECLQAUAAYACAAAACEA&#10;wkNBjOEAAAAOAQAADwAAAAAAAAAAAAAAAAAvBAAAZHJzL2Rvd25yZXYueG1sUEsFBgAAAAAEAAQA&#10;8wAAAD0FAAAAAA==&#10;" filled="f" stroked="f">
              <v:textbox style="mso-fit-shape-to-text:t" inset="0,0,0,0">
                <w:txbxContent>
                  <w:p w14:paraId="05C9F54E" w14:textId="77777777" w:rsidR="00F44679" w:rsidRPr="008742C3" w:rsidRDefault="00AE055D" w:rsidP="005D7229">
                    <w:pPr>
                      <w:rPr>
                        <w:rFonts w:cs="Arial"/>
                        <w:sz w:val="10"/>
                        <w:szCs w:val="10"/>
                      </w:rPr>
                    </w:pPr>
                    <w:r w:rsidRPr="008742C3">
                      <w:rPr>
                        <w:rFonts w:cs="Arial"/>
                        <w:sz w:val="10"/>
                        <w:szCs w:val="10"/>
                      </w:rPr>
                      <w:t>MINISTERIO</w:t>
                    </w:r>
                  </w:p>
                  <w:p w14:paraId="2FD467E3" w14:textId="77777777" w:rsidR="00F44679" w:rsidRDefault="008A51DD" w:rsidP="008A51DD">
                    <w:pPr>
                      <w:rPr>
                        <w:rFonts w:cs="Arial"/>
                        <w:sz w:val="10"/>
                        <w:szCs w:val="10"/>
                      </w:rPr>
                    </w:pPr>
                    <w:r>
                      <w:rPr>
                        <w:rFonts w:cs="Arial"/>
                        <w:sz w:val="10"/>
                        <w:szCs w:val="10"/>
                      </w:rPr>
                      <w:t>PARA LA TRANSICIÓN ECOLÓGICA</w:t>
                    </w:r>
                  </w:p>
                  <w:p w14:paraId="02A22BF0" w14:textId="77777777" w:rsidR="008A51DD" w:rsidRPr="008742C3" w:rsidRDefault="00F44679" w:rsidP="008A51DD">
                    <w:pPr>
                      <w:rPr>
                        <w:rFonts w:cs="Arial"/>
                        <w:sz w:val="10"/>
                        <w:szCs w:val="10"/>
                      </w:rPr>
                    </w:pPr>
                    <w:r>
                      <w:rPr>
                        <w:rFonts w:cs="Arial"/>
                        <w:sz w:val="10"/>
                        <w:szCs w:val="10"/>
                      </w:rPr>
                      <w:t xml:space="preserve"> Y EL RETO DEMOGRÁFICO</w:t>
                    </w:r>
                  </w:p>
                  <w:p w14:paraId="227C39B5" w14:textId="77777777" w:rsidR="00AE055D" w:rsidRPr="008742C3" w:rsidRDefault="00AE055D" w:rsidP="005D7229">
                    <w:pPr>
                      <w:rPr>
                        <w:rFonts w:cs="Arial"/>
                        <w:sz w:val="10"/>
                        <w:szCs w:val="10"/>
                      </w:rPr>
                    </w:pP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592100"/>
      <w:docPartObj>
        <w:docPartGallery w:val="Page Numbers (Bottom of Page)"/>
        <w:docPartUnique/>
      </w:docPartObj>
    </w:sdtPr>
    <w:sdtContent>
      <w:p w14:paraId="3FB71599" w14:textId="5C425F28" w:rsidR="000268E2" w:rsidRDefault="000268E2">
        <w:pPr>
          <w:pStyle w:val="Piedepgina"/>
          <w:jc w:val="right"/>
        </w:pPr>
        <w:r>
          <w:fldChar w:fldCharType="begin"/>
        </w:r>
        <w:r>
          <w:instrText>PAGE   \* MERGEFORMAT</w:instrText>
        </w:r>
        <w:r>
          <w:fldChar w:fldCharType="separate"/>
        </w:r>
        <w:r w:rsidR="002E357A">
          <w:rPr>
            <w:noProof/>
          </w:rPr>
          <w:t>10</w:t>
        </w:r>
        <w:r>
          <w:fldChar w:fldCharType="end"/>
        </w:r>
      </w:p>
    </w:sdtContent>
  </w:sdt>
  <w:p w14:paraId="0BB6E637" w14:textId="5FC911A7" w:rsidR="00AE055D" w:rsidRDefault="00AE055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3B170" w14:textId="77777777" w:rsidR="00AE055D" w:rsidRDefault="00AE055D" w:rsidP="007C3AE2">
    <w:pPr>
      <w:pStyle w:val="Piedepgina"/>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CE229" w14:textId="77777777" w:rsidR="00E65DCD" w:rsidRDefault="00E65DCD">
      <w:r>
        <w:separator/>
      </w:r>
    </w:p>
  </w:footnote>
  <w:footnote w:type="continuationSeparator" w:id="0">
    <w:p w14:paraId="5E57F10E" w14:textId="77777777" w:rsidR="00E65DCD" w:rsidRDefault="00E65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F504" w14:textId="4712A52B" w:rsidR="00DB164E" w:rsidRDefault="00A132F5" w:rsidP="000A6E4D">
    <w:pPr>
      <w:pStyle w:val="Encabezado"/>
    </w:pPr>
    <w:r w:rsidRPr="00A40EB8">
      <w:rPr>
        <w:b/>
        <w:noProof/>
      </w:rPr>
      <w:drawing>
        <wp:anchor distT="0" distB="0" distL="114300" distR="114300" simplePos="0" relativeHeight="251690496" behindDoc="0" locked="0" layoutInCell="1" allowOverlap="1" wp14:anchorId="7BE56A27" wp14:editId="31574A2C">
          <wp:simplePos x="0" y="0"/>
          <wp:positionH relativeFrom="margin">
            <wp:align>left</wp:align>
          </wp:positionH>
          <wp:positionV relativeFrom="paragraph">
            <wp:posOffset>172085</wp:posOffset>
          </wp:positionV>
          <wp:extent cx="704850" cy="688340"/>
          <wp:effectExtent l="0" t="0" r="0" b="0"/>
          <wp:wrapNone/>
          <wp:docPr id="16" name="0 Imagen" descr="esc_C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esc_C_18.jpg"/>
                  <pic:cNvPicPr>
                    <a:picLocks noChangeAspect="1"/>
                  </pic:cNvPicPr>
                </pic:nvPicPr>
                <pic:blipFill>
                  <a:blip r:embed="rId1"/>
                  <a:stretch>
                    <a:fillRect/>
                  </a:stretch>
                </pic:blipFill>
                <pic:spPr>
                  <a:xfrm>
                    <a:off x="0" y="0"/>
                    <a:ext cx="704850" cy="688340"/>
                  </a:xfrm>
                  <a:prstGeom prst="rect">
                    <a:avLst/>
                  </a:prstGeom>
                </pic:spPr>
              </pic:pic>
            </a:graphicData>
          </a:graphic>
          <wp14:sizeRelV relativeFrom="margin">
            <wp14:pctHeight>0</wp14:pctHeight>
          </wp14:sizeRelV>
        </wp:anchor>
      </w:drawing>
    </w:r>
  </w:p>
  <w:p w14:paraId="37514ED4" w14:textId="3D68794E" w:rsidR="004F2DD2" w:rsidRPr="00A40EB8" w:rsidRDefault="004F2DD2" w:rsidP="000A6E4D">
    <w:pPr>
      <w:pStyle w:val="Encabezado"/>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696E" w14:textId="77777777" w:rsidR="00AE055D" w:rsidRDefault="00AE055D" w:rsidP="00F24BA7">
    <w:pPr>
      <w:pStyle w:val="Encabezado"/>
    </w:pPr>
    <w:r>
      <w:rPr>
        <w:noProof/>
      </w:rPr>
      <w:drawing>
        <wp:anchor distT="0" distB="0" distL="114300" distR="114300" simplePos="0" relativeHeight="251630080" behindDoc="0" locked="1" layoutInCell="1" allowOverlap="1" wp14:anchorId="7A9F1215" wp14:editId="4385BA8C">
          <wp:simplePos x="0" y="0"/>
          <wp:positionH relativeFrom="page">
            <wp:posOffset>360045</wp:posOffset>
          </wp:positionH>
          <wp:positionV relativeFrom="page">
            <wp:posOffset>252095</wp:posOffset>
          </wp:positionV>
          <wp:extent cx="493395" cy="521335"/>
          <wp:effectExtent l="19050" t="0" r="1905" b="0"/>
          <wp:wrapNone/>
          <wp:docPr id="17" name="Imagen 17" descr="esc_BN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esc_BN_15"/>
                  <pic:cNvPicPr>
                    <a:picLocks noChangeAspect="1" noChangeArrowheads="1"/>
                  </pic:cNvPicPr>
                </pic:nvPicPr>
                <pic:blipFill>
                  <a:blip r:embed="rId1"/>
                  <a:srcRect/>
                  <a:stretch>
                    <a:fillRect/>
                  </a:stretch>
                </pic:blipFill>
                <pic:spPr bwMode="auto">
                  <a:xfrm>
                    <a:off x="0" y="0"/>
                    <a:ext cx="493395" cy="52133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2ACE1" w14:textId="77777777" w:rsidR="00AE055D" w:rsidRDefault="00AE055D" w:rsidP="007C3AE2">
    <w:pPr>
      <w:pStyle w:val="Encabezado"/>
      <w:tabs>
        <w:tab w:val="clear" w:pos="4252"/>
      </w:tabs>
    </w:pPr>
    <w:r>
      <w:rPr>
        <w:noProof/>
      </w:rPr>
      <w:drawing>
        <wp:anchor distT="0" distB="0" distL="114300" distR="114300" simplePos="0" relativeHeight="251631104" behindDoc="0" locked="1" layoutInCell="1" allowOverlap="1" wp14:anchorId="7FF6EB34" wp14:editId="3EAA2A3E">
          <wp:simplePos x="0" y="0"/>
          <wp:positionH relativeFrom="page">
            <wp:posOffset>0</wp:posOffset>
          </wp:positionH>
          <wp:positionV relativeFrom="page">
            <wp:posOffset>575945</wp:posOffset>
          </wp:positionV>
          <wp:extent cx="7505700" cy="2971800"/>
          <wp:effectExtent l="19050" t="0" r="0" b="0"/>
          <wp:wrapNone/>
          <wp:docPr id="18" name="Imagen 18" descr="Encabezado NI DG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6" descr="Encabezado NI DGA"/>
                  <pic:cNvPicPr>
                    <a:picLocks noChangeArrowheads="1"/>
                  </pic:cNvPicPr>
                </pic:nvPicPr>
                <pic:blipFill>
                  <a:blip r:embed="rId1"/>
                  <a:srcRect/>
                  <a:stretch>
                    <a:fillRect/>
                  </a:stretch>
                </pic:blipFill>
                <pic:spPr bwMode="auto">
                  <a:xfrm>
                    <a:off x="0" y="0"/>
                    <a:ext cx="7505700" cy="2971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4CBA"/>
      </v:shape>
    </w:pict>
  </w:numPicBullet>
  <w:abstractNum w:abstractNumId="0" w15:restartNumberingAfterBreak="0">
    <w:nsid w:val="022D1E64"/>
    <w:multiLevelType w:val="hybridMultilevel"/>
    <w:tmpl w:val="20305CF2"/>
    <w:lvl w:ilvl="0" w:tplc="8E8ABCC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EE7C8D"/>
    <w:multiLevelType w:val="hybridMultilevel"/>
    <w:tmpl w:val="65587302"/>
    <w:lvl w:ilvl="0" w:tplc="B1242D4A">
      <w:start w:val="1"/>
      <w:numFmt w:val="decimal"/>
      <w:lvlText w:val="%1."/>
      <w:lvlJc w:val="left"/>
      <w:pPr>
        <w:ind w:left="720" w:hanging="360"/>
      </w:pPr>
      <w:rPr>
        <w:rFonts w:ascii="Times New Roman" w:eastAsia="Aptos" w:hAnsi="Times New Roman" w:cs="Aria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B007BD4">
      <w:start w:val="1"/>
      <w:numFmt w:val="decimal"/>
      <w:lvlText w:val="%4."/>
      <w:lvlJc w:val="left"/>
      <w:pPr>
        <w:ind w:left="2880" w:hanging="360"/>
      </w:pPr>
      <w:rPr>
        <w:rFonts w:ascii="Arial" w:eastAsia="Aptos" w:hAnsi="Arial" w:cs="Arial"/>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171A71"/>
    <w:multiLevelType w:val="multilevel"/>
    <w:tmpl w:val="349C9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0C4DB4"/>
    <w:multiLevelType w:val="hybridMultilevel"/>
    <w:tmpl w:val="3E769FF0"/>
    <w:lvl w:ilvl="0" w:tplc="0530682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076A66"/>
    <w:multiLevelType w:val="hybridMultilevel"/>
    <w:tmpl w:val="B4743464"/>
    <w:lvl w:ilvl="0" w:tplc="EE58436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9C1570E"/>
    <w:multiLevelType w:val="hybridMultilevel"/>
    <w:tmpl w:val="D7A431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C165D1"/>
    <w:multiLevelType w:val="hybridMultilevel"/>
    <w:tmpl w:val="7DA82DD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7D72E2"/>
    <w:multiLevelType w:val="hybridMultilevel"/>
    <w:tmpl w:val="46FA3958"/>
    <w:lvl w:ilvl="0" w:tplc="EE584364">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746958"/>
    <w:multiLevelType w:val="hybridMultilevel"/>
    <w:tmpl w:val="8EACCB52"/>
    <w:lvl w:ilvl="0" w:tplc="4668971C">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CEA2015"/>
    <w:multiLevelType w:val="hybridMultilevel"/>
    <w:tmpl w:val="DEB0B5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034F40"/>
    <w:multiLevelType w:val="hybridMultilevel"/>
    <w:tmpl w:val="009E0EA6"/>
    <w:lvl w:ilvl="0" w:tplc="6A5CE796">
      <w:numFmt w:val="bullet"/>
      <w:lvlText w:val="-"/>
      <w:lvlJc w:val="left"/>
      <w:pPr>
        <w:ind w:left="720" w:hanging="360"/>
      </w:pPr>
      <w:rPr>
        <w:rFonts w:ascii="Arial" w:eastAsia="Apto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A126D9B"/>
    <w:multiLevelType w:val="hybridMultilevel"/>
    <w:tmpl w:val="3FC2849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8F3F13"/>
    <w:multiLevelType w:val="hybridMultilevel"/>
    <w:tmpl w:val="FE8600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D6569EE"/>
    <w:multiLevelType w:val="hybridMultilevel"/>
    <w:tmpl w:val="FCA6F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3DC6D96"/>
    <w:multiLevelType w:val="hybridMultilevel"/>
    <w:tmpl w:val="D4D8DE24"/>
    <w:lvl w:ilvl="0" w:tplc="4F3E8E18">
      <w:numFmt w:val="bullet"/>
      <w:lvlText w:val="-"/>
      <w:lvlJc w:val="left"/>
      <w:pPr>
        <w:ind w:left="720" w:hanging="360"/>
      </w:pPr>
      <w:rPr>
        <w:rFonts w:ascii="Arial" w:eastAsia="Apto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6A00BC"/>
    <w:multiLevelType w:val="hybridMultilevel"/>
    <w:tmpl w:val="1316A7C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A077D82"/>
    <w:multiLevelType w:val="hybridMultilevel"/>
    <w:tmpl w:val="75025FD0"/>
    <w:lvl w:ilvl="0" w:tplc="0C0A0007">
      <w:start w:val="1"/>
      <w:numFmt w:val="bullet"/>
      <w:lvlText w:val=""/>
      <w:lvlPicBulletId w:val="0"/>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7" w15:restartNumberingAfterBreak="0">
    <w:nsid w:val="3CA42445"/>
    <w:multiLevelType w:val="hybridMultilevel"/>
    <w:tmpl w:val="5C26B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F123E18"/>
    <w:multiLevelType w:val="hybridMultilevel"/>
    <w:tmpl w:val="696846DC"/>
    <w:lvl w:ilvl="0" w:tplc="E0140E56">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596136"/>
    <w:multiLevelType w:val="hybridMultilevel"/>
    <w:tmpl w:val="FBA46FE2"/>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A96415"/>
    <w:multiLevelType w:val="hybridMultilevel"/>
    <w:tmpl w:val="4F2A6F3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25944C5"/>
    <w:multiLevelType w:val="hybridMultilevel"/>
    <w:tmpl w:val="90605DA4"/>
    <w:lvl w:ilvl="0" w:tplc="FDAC4C5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F514544"/>
    <w:multiLevelType w:val="hybridMultilevel"/>
    <w:tmpl w:val="C6008920"/>
    <w:lvl w:ilvl="0" w:tplc="15DE2CD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B542783"/>
    <w:multiLevelType w:val="hybridMultilevel"/>
    <w:tmpl w:val="E0D61844"/>
    <w:lvl w:ilvl="0" w:tplc="FC40E266">
      <w:numFmt w:val="bullet"/>
      <w:lvlText w:val="-"/>
      <w:lvlJc w:val="left"/>
      <w:pPr>
        <w:ind w:left="1060" w:hanging="360"/>
      </w:pPr>
      <w:rPr>
        <w:rFonts w:ascii="Arial" w:eastAsia="Aptos" w:hAnsi="Arial"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16cid:durableId="1396856608">
    <w:abstractNumId w:val="15"/>
  </w:num>
  <w:num w:numId="2" w16cid:durableId="456800521">
    <w:abstractNumId w:val="19"/>
  </w:num>
  <w:num w:numId="3" w16cid:durableId="1441535354">
    <w:abstractNumId w:val="6"/>
  </w:num>
  <w:num w:numId="4" w16cid:durableId="1073546503">
    <w:abstractNumId w:val="11"/>
  </w:num>
  <w:num w:numId="5" w16cid:durableId="644507093">
    <w:abstractNumId w:val="5"/>
  </w:num>
  <w:num w:numId="6" w16cid:durableId="1355351397">
    <w:abstractNumId w:val="9"/>
  </w:num>
  <w:num w:numId="7" w16cid:durableId="529807134">
    <w:abstractNumId w:val="4"/>
  </w:num>
  <w:num w:numId="8" w16cid:durableId="253973765">
    <w:abstractNumId w:val="20"/>
  </w:num>
  <w:num w:numId="9" w16cid:durableId="494078119">
    <w:abstractNumId w:val="4"/>
  </w:num>
  <w:num w:numId="10" w16cid:durableId="996494906">
    <w:abstractNumId w:val="7"/>
  </w:num>
  <w:num w:numId="11" w16cid:durableId="1894652274">
    <w:abstractNumId w:val="0"/>
  </w:num>
  <w:num w:numId="12" w16cid:durableId="2019503984">
    <w:abstractNumId w:val="3"/>
  </w:num>
  <w:num w:numId="13" w16cid:durableId="1609316790">
    <w:abstractNumId w:val="22"/>
  </w:num>
  <w:num w:numId="14" w16cid:durableId="1987469153">
    <w:abstractNumId w:val="21"/>
  </w:num>
  <w:num w:numId="15" w16cid:durableId="1778670384">
    <w:abstractNumId w:val="2"/>
  </w:num>
  <w:num w:numId="16" w16cid:durableId="538397025">
    <w:abstractNumId w:val="8"/>
  </w:num>
  <w:num w:numId="17" w16cid:durableId="1543832748">
    <w:abstractNumId w:val="18"/>
  </w:num>
  <w:num w:numId="18" w16cid:durableId="1034119411">
    <w:abstractNumId w:val="13"/>
  </w:num>
  <w:num w:numId="19" w16cid:durableId="81073059">
    <w:abstractNumId w:val="1"/>
  </w:num>
  <w:num w:numId="20" w16cid:durableId="230896297">
    <w:abstractNumId w:val="17"/>
  </w:num>
  <w:num w:numId="21" w16cid:durableId="987318557">
    <w:abstractNumId w:val="16"/>
  </w:num>
  <w:num w:numId="22" w16cid:durableId="15201215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0899564">
    <w:abstractNumId w:val="23"/>
  </w:num>
  <w:num w:numId="24" w16cid:durableId="1389961208">
    <w:abstractNumId w:val="10"/>
  </w:num>
  <w:num w:numId="25" w16cid:durableId="12344367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181"/>
  <w:drawingGridVerticalSpacing w:val="181"/>
  <w:noPunctuationKerning/>
  <w:characterSpacingControl w:val="doNotCompress"/>
  <w:savePreviewPicture/>
  <w:hdrShapeDefaults>
    <o:shapedefaults v:ext="edit" spidmax="2050" style="mso-position-vertical-relative:page">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D0F"/>
    <w:rsid w:val="000019F1"/>
    <w:rsid w:val="0000397C"/>
    <w:rsid w:val="000044EA"/>
    <w:rsid w:val="0002044A"/>
    <w:rsid w:val="0002129B"/>
    <w:rsid w:val="000268E2"/>
    <w:rsid w:val="000275FF"/>
    <w:rsid w:val="00030852"/>
    <w:rsid w:val="00031571"/>
    <w:rsid w:val="00040F94"/>
    <w:rsid w:val="00041AC0"/>
    <w:rsid w:val="00042EE5"/>
    <w:rsid w:val="0005414D"/>
    <w:rsid w:val="00055A09"/>
    <w:rsid w:val="00060A02"/>
    <w:rsid w:val="00062784"/>
    <w:rsid w:val="00094BD5"/>
    <w:rsid w:val="000A6E4D"/>
    <w:rsid w:val="000C7323"/>
    <w:rsid w:val="000D130F"/>
    <w:rsid w:val="000F0719"/>
    <w:rsid w:val="000F2866"/>
    <w:rsid w:val="00100379"/>
    <w:rsid w:val="0010336B"/>
    <w:rsid w:val="00105A6D"/>
    <w:rsid w:val="00117706"/>
    <w:rsid w:val="00121039"/>
    <w:rsid w:val="001331CD"/>
    <w:rsid w:val="00134442"/>
    <w:rsid w:val="001439E8"/>
    <w:rsid w:val="0014602B"/>
    <w:rsid w:val="001566CB"/>
    <w:rsid w:val="00160523"/>
    <w:rsid w:val="0016502F"/>
    <w:rsid w:val="00170ADC"/>
    <w:rsid w:val="0017192C"/>
    <w:rsid w:val="00186C7D"/>
    <w:rsid w:val="001A112C"/>
    <w:rsid w:val="001A552A"/>
    <w:rsid w:val="001B1E55"/>
    <w:rsid w:val="001C1391"/>
    <w:rsid w:val="001C797A"/>
    <w:rsid w:val="001D195F"/>
    <w:rsid w:val="001E0FE3"/>
    <w:rsid w:val="001E1FB3"/>
    <w:rsid w:val="001E4A37"/>
    <w:rsid w:val="001F0C62"/>
    <w:rsid w:val="001F2B0E"/>
    <w:rsid w:val="001F371B"/>
    <w:rsid w:val="001F5FE5"/>
    <w:rsid w:val="001F7D57"/>
    <w:rsid w:val="002002E2"/>
    <w:rsid w:val="0020144F"/>
    <w:rsid w:val="00202F8E"/>
    <w:rsid w:val="00211FBF"/>
    <w:rsid w:val="00215584"/>
    <w:rsid w:val="002156BF"/>
    <w:rsid w:val="00220E7B"/>
    <w:rsid w:val="00226B75"/>
    <w:rsid w:val="00227459"/>
    <w:rsid w:val="00231AC0"/>
    <w:rsid w:val="002470BF"/>
    <w:rsid w:val="00247CA9"/>
    <w:rsid w:val="0025604A"/>
    <w:rsid w:val="002670C4"/>
    <w:rsid w:val="002708FE"/>
    <w:rsid w:val="00294206"/>
    <w:rsid w:val="00295569"/>
    <w:rsid w:val="002A0809"/>
    <w:rsid w:val="002A0FA4"/>
    <w:rsid w:val="002A2D7A"/>
    <w:rsid w:val="002C13CA"/>
    <w:rsid w:val="002C4831"/>
    <w:rsid w:val="002E2A91"/>
    <w:rsid w:val="002E357A"/>
    <w:rsid w:val="002F7880"/>
    <w:rsid w:val="00304874"/>
    <w:rsid w:val="00313B42"/>
    <w:rsid w:val="00333656"/>
    <w:rsid w:val="003476B4"/>
    <w:rsid w:val="0035152A"/>
    <w:rsid w:val="00360CF1"/>
    <w:rsid w:val="003634F6"/>
    <w:rsid w:val="0037170A"/>
    <w:rsid w:val="003A06C2"/>
    <w:rsid w:val="003A48DE"/>
    <w:rsid w:val="003A4B8B"/>
    <w:rsid w:val="003A687B"/>
    <w:rsid w:val="003B1419"/>
    <w:rsid w:val="003C5A99"/>
    <w:rsid w:val="003F32CB"/>
    <w:rsid w:val="003F45C0"/>
    <w:rsid w:val="003F509B"/>
    <w:rsid w:val="00412E0C"/>
    <w:rsid w:val="00424005"/>
    <w:rsid w:val="004267E5"/>
    <w:rsid w:val="00435B92"/>
    <w:rsid w:val="004408F5"/>
    <w:rsid w:val="004423D2"/>
    <w:rsid w:val="00444C4A"/>
    <w:rsid w:val="00446553"/>
    <w:rsid w:val="00450B87"/>
    <w:rsid w:val="00461E00"/>
    <w:rsid w:val="00467B2E"/>
    <w:rsid w:val="0047059F"/>
    <w:rsid w:val="00472CB2"/>
    <w:rsid w:val="00476AEA"/>
    <w:rsid w:val="0048034D"/>
    <w:rsid w:val="00490EB9"/>
    <w:rsid w:val="004927FB"/>
    <w:rsid w:val="00492989"/>
    <w:rsid w:val="004957CF"/>
    <w:rsid w:val="004A4AA5"/>
    <w:rsid w:val="004A6573"/>
    <w:rsid w:val="004A7F65"/>
    <w:rsid w:val="004B2592"/>
    <w:rsid w:val="004B2AA0"/>
    <w:rsid w:val="004B4F6D"/>
    <w:rsid w:val="004B695F"/>
    <w:rsid w:val="004E43EB"/>
    <w:rsid w:val="004F2DD2"/>
    <w:rsid w:val="005006AF"/>
    <w:rsid w:val="00512D0F"/>
    <w:rsid w:val="0052299C"/>
    <w:rsid w:val="005233D5"/>
    <w:rsid w:val="00523B88"/>
    <w:rsid w:val="0053168D"/>
    <w:rsid w:val="005326FB"/>
    <w:rsid w:val="0056248D"/>
    <w:rsid w:val="00571959"/>
    <w:rsid w:val="00587BD2"/>
    <w:rsid w:val="0059204D"/>
    <w:rsid w:val="005922AB"/>
    <w:rsid w:val="00593381"/>
    <w:rsid w:val="00595505"/>
    <w:rsid w:val="005965F1"/>
    <w:rsid w:val="00596CDF"/>
    <w:rsid w:val="005A351C"/>
    <w:rsid w:val="005B1F0B"/>
    <w:rsid w:val="005B46EF"/>
    <w:rsid w:val="005C45A8"/>
    <w:rsid w:val="005D1282"/>
    <w:rsid w:val="005D4C2D"/>
    <w:rsid w:val="005D5982"/>
    <w:rsid w:val="005D65F7"/>
    <w:rsid w:val="005D7229"/>
    <w:rsid w:val="005E4E1C"/>
    <w:rsid w:val="005F2187"/>
    <w:rsid w:val="00603F9F"/>
    <w:rsid w:val="00605051"/>
    <w:rsid w:val="00610221"/>
    <w:rsid w:val="00614F96"/>
    <w:rsid w:val="0062165A"/>
    <w:rsid w:val="0062306A"/>
    <w:rsid w:val="00624872"/>
    <w:rsid w:val="00627A99"/>
    <w:rsid w:val="006311BF"/>
    <w:rsid w:val="00631D11"/>
    <w:rsid w:val="006341AD"/>
    <w:rsid w:val="006413D7"/>
    <w:rsid w:val="00641F3E"/>
    <w:rsid w:val="00645B14"/>
    <w:rsid w:val="0064717E"/>
    <w:rsid w:val="00650699"/>
    <w:rsid w:val="00650EFF"/>
    <w:rsid w:val="00655EB5"/>
    <w:rsid w:val="006619AC"/>
    <w:rsid w:val="006759D8"/>
    <w:rsid w:val="00675F80"/>
    <w:rsid w:val="00685AD9"/>
    <w:rsid w:val="00687CC5"/>
    <w:rsid w:val="006A1992"/>
    <w:rsid w:val="006A6A5D"/>
    <w:rsid w:val="006B5796"/>
    <w:rsid w:val="006D5BA8"/>
    <w:rsid w:val="006E35AC"/>
    <w:rsid w:val="006E6B7C"/>
    <w:rsid w:val="006F21A0"/>
    <w:rsid w:val="0071241E"/>
    <w:rsid w:val="00725CE5"/>
    <w:rsid w:val="00741BB2"/>
    <w:rsid w:val="00745627"/>
    <w:rsid w:val="00751D7E"/>
    <w:rsid w:val="00755283"/>
    <w:rsid w:val="00764935"/>
    <w:rsid w:val="00764AF0"/>
    <w:rsid w:val="00771487"/>
    <w:rsid w:val="00772F8B"/>
    <w:rsid w:val="0078484D"/>
    <w:rsid w:val="00791410"/>
    <w:rsid w:val="00797736"/>
    <w:rsid w:val="007A41FC"/>
    <w:rsid w:val="007B1FB7"/>
    <w:rsid w:val="007C3AE2"/>
    <w:rsid w:val="007C7B0E"/>
    <w:rsid w:val="007D0954"/>
    <w:rsid w:val="007D7266"/>
    <w:rsid w:val="007E6C34"/>
    <w:rsid w:val="007F1D89"/>
    <w:rsid w:val="007F3550"/>
    <w:rsid w:val="00802B69"/>
    <w:rsid w:val="00810E7F"/>
    <w:rsid w:val="00816491"/>
    <w:rsid w:val="00817E0F"/>
    <w:rsid w:val="00820E27"/>
    <w:rsid w:val="00831977"/>
    <w:rsid w:val="008321E4"/>
    <w:rsid w:val="0084792A"/>
    <w:rsid w:val="00847E4A"/>
    <w:rsid w:val="00866719"/>
    <w:rsid w:val="008712B6"/>
    <w:rsid w:val="00875EE6"/>
    <w:rsid w:val="00876F32"/>
    <w:rsid w:val="00896657"/>
    <w:rsid w:val="008A51DD"/>
    <w:rsid w:val="008B5885"/>
    <w:rsid w:val="008B76E0"/>
    <w:rsid w:val="008C2DE1"/>
    <w:rsid w:val="008E5032"/>
    <w:rsid w:val="008E6892"/>
    <w:rsid w:val="008F7CF7"/>
    <w:rsid w:val="009045F4"/>
    <w:rsid w:val="00913399"/>
    <w:rsid w:val="00925DCC"/>
    <w:rsid w:val="00927FFC"/>
    <w:rsid w:val="00935115"/>
    <w:rsid w:val="00950A3E"/>
    <w:rsid w:val="00953132"/>
    <w:rsid w:val="009560CD"/>
    <w:rsid w:val="0095647C"/>
    <w:rsid w:val="00963229"/>
    <w:rsid w:val="00977FAE"/>
    <w:rsid w:val="0098110F"/>
    <w:rsid w:val="009830D6"/>
    <w:rsid w:val="00990CCA"/>
    <w:rsid w:val="009A1CB0"/>
    <w:rsid w:val="009A78AE"/>
    <w:rsid w:val="009B1C3A"/>
    <w:rsid w:val="009B7DCB"/>
    <w:rsid w:val="009D666B"/>
    <w:rsid w:val="009D6A87"/>
    <w:rsid w:val="009E6F97"/>
    <w:rsid w:val="009F1156"/>
    <w:rsid w:val="00A02241"/>
    <w:rsid w:val="00A02D3C"/>
    <w:rsid w:val="00A132F5"/>
    <w:rsid w:val="00A26D88"/>
    <w:rsid w:val="00A40EB8"/>
    <w:rsid w:val="00A52AC2"/>
    <w:rsid w:val="00A54CA6"/>
    <w:rsid w:val="00A615AD"/>
    <w:rsid w:val="00A67B31"/>
    <w:rsid w:val="00A764DE"/>
    <w:rsid w:val="00AA1AF4"/>
    <w:rsid w:val="00AA3E7A"/>
    <w:rsid w:val="00AA43D2"/>
    <w:rsid w:val="00AB6433"/>
    <w:rsid w:val="00AB799E"/>
    <w:rsid w:val="00AD642A"/>
    <w:rsid w:val="00AE055D"/>
    <w:rsid w:val="00AF2AE0"/>
    <w:rsid w:val="00AF762E"/>
    <w:rsid w:val="00B13D34"/>
    <w:rsid w:val="00B15956"/>
    <w:rsid w:val="00B266F2"/>
    <w:rsid w:val="00B410E4"/>
    <w:rsid w:val="00B44072"/>
    <w:rsid w:val="00B47D84"/>
    <w:rsid w:val="00B52765"/>
    <w:rsid w:val="00B555F0"/>
    <w:rsid w:val="00B631F5"/>
    <w:rsid w:val="00B71ACC"/>
    <w:rsid w:val="00B7253A"/>
    <w:rsid w:val="00B77F4C"/>
    <w:rsid w:val="00B92707"/>
    <w:rsid w:val="00B94033"/>
    <w:rsid w:val="00BA0182"/>
    <w:rsid w:val="00BB160A"/>
    <w:rsid w:val="00BB2A15"/>
    <w:rsid w:val="00BE0834"/>
    <w:rsid w:val="00BE1FD1"/>
    <w:rsid w:val="00BE2EFC"/>
    <w:rsid w:val="00BE54B5"/>
    <w:rsid w:val="00BF7B3F"/>
    <w:rsid w:val="00C02DB0"/>
    <w:rsid w:val="00C20556"/>
    <w:rsid w:val="00C22AF3"/>
    <w:rsid w:val="00C2385C"/>
    <w:rsid w:val="00C31ACC"/>
    <w:rsid w:val="00C43EF6"/>
    <w:rsid w:val="00C60FDD"/>
    <w:rsid w:val="00C77B09"/>
    <w:rsid w:val="00C87365"/>
    <w:rsid w:val="00C96E4D"/>
    <w:rsid w:val="00CA14DA"/>
    <w:rsid w:val="00CA703D"/>
    <w:rsid w:val="00CB0BC1"/>
    <w:rsid w:val="00CB1CB9"/>
    <w:rsid w:val="00CB5FFE"/>
    <w:rsid w:val="00CC2AEA"/>
    <w:rsid w:val="00CC50A3"/>
    <w:rsid w:val="00CD7C35"/>
    <w:rsid w:val="00CE4225"/>
    <w:rsid w:val="00CE6114"/>
    <w:rsid w:val="00CF359E"/>
    <w:rsid w:val="00CF3F14"/>
    <w:rsid w:val="00CF593C"/>
    <w:rsid w:val="00CF6643"/>
    <w:rsid w:val="00D04C7B"/>
    <w:rsid w:val="00D06018"/>
    <w:rsid w:val="00D062AD"/>
    <w:rsid w:val="00D06E61"/>
    <w:rsid w:val="00D43154"/>
    <w:rsid w:val="00D44FAD"/>
    <w:rsid w:val="00D453BD"/>
    <w:rsid w:val="00D51FAD"/>
    <w:rsid w:val="00D63029"/>
    <w:rsid w:val="00DA2F5D"/>
    <w:rsid w:val="00DB164E"/>
    <w:rsid w:val="00DD3832"/>
    <w:rsid w:val="00E03743"/>
    <w:rsid w:val="00E05D29"/>
    <w:rsid w:val="00E11472"/>
    <w:rsid w:val="00E148EC"/>
    <w:rsid w:val="00E26955"/>
    <w:rsid w:val="00E340E6"/>
    <w:rsid w:val="00E42D5C"/>
    <w:rsid w:val="00E63B95"/>
    <w:rsid w:val="00E65DCD"/>
    <w:rsid w:val="00E70A27"/>
    <w:rsid w:val="00E72A42"/>
    <w:rsid w:val="00E7627E"/>
    <w:rsid w:val="00E842BD"/>
    <w:rsid w:val="00E92F7C"/>
    <w:rsid w:val="00EB4013"/>
    <w:rsid w:val="00ED0335"/>
    <w:rsid w:val="00EE259D"/>
    <w:rsid w:val="00EF7FFD"/>
    <w:rsid w:val="00F029A6"/>
    <w:rsid w:val="00F11CF1"/>
    <w:rsid w:val="00F130DD"/>
    <w:rsid w:val="00F14215"/>
    <w:rsid w:val="00F24BA7"/>
    <w:rsid w:val="00F27917"/>
    <w:rsid w:val="00F374F1"/>
    <w:rsid w:val="00F44679"/>
    <w:rsid w:val="00F82999"/>
    <w:rsid w:val="00F9595B"/>
    <w:rsid w:val="00FA24CE"/>
    <w:rsid w:val="00FB1565"/>
    <w:rsid w:val="00FB5305"/>
    <w:rsid w:val="00FB6ABA"/>
    <w:rsid w:val="00FC0BEC"/>
    <w:rsid w:val="00FC2075"/>
    <w:rsid w:val="00FC3474"/>
    <w:rsid w:val="00FC4D5A"/>
    <w:rsid w:val="00FD56C6"/>
    <w:rsid w:val="00FF437F"/>
    <w:rsid w:val="00FF4C53"/>
    <w:rsid w:val="00FF60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colormru v:ext="edit" colors="#ddd"/>
    </o:shapedefaults>
    <o:shapelayout v:ext="edit">
      <o:idmap v:ext="edit" data="2"/>
    </o:shapelayout>
  </w:shapeDefaults>
  <w:decimalSymbol w:val=","/>
  <w:listSeparator w:val=";"/>
  <w14:docId w14:val="583C1C20"/>
  <w15:docId w15:val="{FAA0C50D-653B-4E2D-93B0-E8C4F6E2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505"/>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31571"/>
    <w:pPr>
      <w:tabs>
        <w:tab w:val="center" w:pos="4252"/>
        <w:tab w:val="right" w:pos="8504"/>
      </w:tabs>
    </w:pPr>
  </w:style>
  <w:style w:type="paragraph" w:styleId="Piedepgina">
    <w:name w:val="footer"/>
    <w:basedOn w:val="Normal"/>
    <w:link w:val="PiedepginaCar"/>
    <w:uiPriority w:val="99"/>
    <w:rsid w:val="00031571"/>
    <w:pPr>
      <w:tabs>
        <w:tab w:val="center" w:pos="4252"/>
        <w:tab w:val="right" w:pos="8504"/>
      </w:tabs>
    </w:pPr>
  </w:style>
  <w:style w:type="paragraph" w:styleId="Textodeglobo">
    <w:name w:val="Balloon Text"/>
    <w:basedOn w:val="Normal"/>
    <w:semiHidden/>
    <w:rsid w:val="00B631F5"/>
    <w:rPr>
      <w:rFonts w:ascii="Tahoma" w:hAnsi="Tahoma" w:cs="Tahoma"/>
      <w:sz w:val="16"/>
      <w:szCs w:val="16"/>
    </w:rPr>
  </w:style>
  <w:style w:type="paragraph" w:styleId="Textonotapie">
    <w:name w:val="footnote text"/>
    <w:basedOn w:val="Normal"/>
    <w:link w:val="TextonotapieCar"/>
    <w:rsid w:val="00810E7F"/>
    <w:rPr>
      <w:rFonts w:ascii="Times New Roman" w:hAnsi="Times New Roman"/>
      <w:sz w:val="20"/>
      <w:szCs w:val="20"/>
      <w:lang w:val="es-ES_tradnl"/>
    </w:rPr>
  </w:style>
  <w:style w:type="character" w:customStyle="1" w:styleId="TextonotapieCar">
    <w:name w:val="Texto nota pie Car"/>
    <w:basedOn w:val="Fuentedeprrafopredeter"/>
    <w:link w:val="Textonotapie"/>
    <w:rsid w:val="00810E7F"/>
    <w:rPr>
      <w:lang w:val="es-ES_tradnl"/>
    </w:rPr>
  </w:style>
  <w:style w:type="character" w:styleId="Hipervnculo">
    <w:name w:val="Hyperlink"/>
    <w:basedOn w:val="Fuentedeprrafopredeter"/>
    <w:rsid w:val="00963229"/>
    <w:rPr>
      <w:color w:val="0000FF"/>
      <w:u w:val="single"/>
    </w:rPr>
  </w:style>
  <w:style w:type="paragraph" w:styleId="Textoindependiente">
    <w:name w:val="Body Text"/>
    <w:basedOn w:val="Normal"/>
    <w:link w:val="TextoindependienteCar"/>
    <w:rsid w:val="00571959"/>
    <w:pPr>
      <w:jc w:val="both"/>
    </w:pPr>
    <w:rPr>
      <w:szCs w:val="20"/>
    </w:rPr>
  </w:style>
  <w:style w:type="character" w:customStyle="1" w:styleId="TextoindependienteCar">
    <w:name w:val="Texto independiente Car"/>
    <w:basedOn w:val="Fuentedeprrafopredeter"/>
    <w:link w:val="Textoindependiente"/>
    <w:rsid w:val="00571959"/>
    <w:rPr>
      <w:rFonts w:ascii="Arial" w:hAnsi="Arial"/>
      <w:sz w:val="24"/>
    </w:rPr>
  </w:style>
  <w:style w:type="paragraph" w:styleId="Textosinformato">
    <w:name w:val="Plain Text"/>
    <w:basedOn w:val="Normal"/>
    <w:link w:val="TextosinformatoCar"/>
    <w:rsid w:val="00FC2075"/>
    <w:rPr>
      <w:rFonts w:ascii="Courier New" w:hAnsi="Courier New" w:cs="Courier New"/>
      <w:sz w:val="20"/>
      <w:szCs w:val="20"/>
    </w:rPr>
  </w:style>
  <w:style w:type="character" w:customStyle="1" w:styleId="TextosinformatoCar">
    <w:name w:val="Texto sin formato Car"/>
    <w:basedOn w:val="Fuentedeprrafopredeter"/>
    <w:link w:val="Textosinformato"/>
    <w:rsid w:val="00FC2075"/>
    <w:rPr>
      <w:rFonts w:ascii="Courier New" w:hAnsi="Courier New" w:cs="Courier New"/>
    </w:rPr>
  </w:style>
  <w:style w:type="paragraph" w:styleId="Prrafodelista">
    <w:name w:val="List Paragraph"/>
    <w:aliases w:val="Párrafo de lista - cat,Bullet"/>
    <w:basedOn w:val="Normal"/>
    <w:link w:val="PrrafodelistaCar"/>
    <w:uiPriority w:val="34"/>
    <w:qFormat/>
    <w:rsid w:val="00FC2075"/>
    <w:pPr>
      <w:ind w:left="720"/>
      <w:contextualSpacing/>
    </w:pPr>
    <w:rPr>
      <w:rFonts w:ascii="Times New Roman" w:hAnsi="Times New Roman"/>
      <w:sz w:val="20"/>
      <w:szCs w:val="20"/>
    </w:rPr>
  </w:style>
  <w:style w:type="paragraph" w:customStyle="1" w:styleId="CM4">
    <w:name w:val="CM4"/>
    <w:basedOn w:val="Normal"/>
    <w:next w:val="Normal"/>
    <w:uiPriority w:val="99"/>
    <w:rsid w:val="00512D0F"/>
    <w:pPr>
      <w:autoSpaceDE w:val="0"/>
      <w:autoSpaceDN w:val="0"/>
      <w:adjustRightInd w:val="0"/>
    </w:pPr>
    <w:rPr>
      <w:rFonts w:ascii="Times New Roman" w:hAnsi="Times New Roman"/>
    </w:rPr>
  </w:style>
  <w:style w:type="character" w:customStyle="1" w:styleId="apple-converted-space">
    <w:name w:val="apple-converted-space"/>
    <w:basedOn w:val="Fuentedeprrafopredeter"/>
    <w:rsid w:val="00AB799E"/>
  </w:style>
  <w:style w:type="paragraph" w:customStyle="1" w:styleId="Text1">
    <w:name w:val="Text 1"/>
    <w:basedOn w:val="Normal"/>
    <w:rsid w:val="00100379"/>
    <w:pPr>
      <w:ind w:left="482"/>
      <w:jc w:val="both"/>
    </w:pPr>
    <w:rPr>
      <w:rFonts w:ascii="Times New Roman" w:hAnsi="Times New Roman"/>
      <w:szCs w:val="20"/>
      <w:lang w:val="en-GB" w:eastAsia="en-GB"/>
    </w:rPr>
  </w:style>
  <w:style w:type="character" w:customStyle="1" w:styleId="PrrafodelistaCar">
    <w:name w:val="Párrafo de lista Car"/>
    <w:aliases w:val="Párrafo de lista - cat Car,Bullet Car"/>
    <w:basedOn w:val="Fuentedeprrafopredeter"/>
    <w:link w:val="Prrafodelista"/>
    <w:uiPriority w:val="34"/>
    <w:locked/>
    <w:rsid w:val="0064717E"/>
  </w:style>
  <w:style w:type="paragraph" w:customStyle="1" w:styleId="Cuerpo">
    <w:name w:val="Cuerpo"/>
    <w:rsid w:val="0064717E"/>
    <w:rPr>
      <w:rFonts w:eastAsia="Arial Unicode MS" w:cs="Arial Unicode MS"/>
      <w:color w:val="000000"/>
      <w:u w:color="000000"/>
      <w:lang w:val="es-ES_tradnl"/>
    </w:rPr>
  </w:style>
  <w:style w:type="character" w:customStyle="1" w:styleId="Ninguno">
    <w:name w:val="Ninguno"/>
    <w:rsid w:val="0064717E"/>
    <w:rPr>
      <w:lang w:val="es-ES_tradnl"/>
    </w:rPr>
  </w:style>
  <w:style w:type="character" w:styleId="nfasis">
    <w:name w:val="Emphasis"/>
    <w:basedOn w:val="Fuentedeprrafopredeter"/>
    <w:qFormat/>
    <w:rsid w:val="00A40EB8"/>
    <w:rPr>
      <w:i/>
      <w:iCs/>
    </w:rPr>
  </w:style>
  <w:style w:type="paragraph" w:styleId="Ttulo">
    <w:name w:val="Title"/>
    <w:basedOn w:val="Normal"/>
    <w:next w:val="Normal"/>
    <w:link w:val="TtuloCar"/>
    <w:qFormat/>
    <w:rsid w:val="00A40EB8"/>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A40EB8"/>
    <w:rPr>
      <w:rFonts w:asciiTheme="majorHAnsi" w:eastAsiaTheme="majorEastAsia" w:hAnsiTheme="majorHAnsi" w:cstheme="majorBidi"/>
      <w:spacing w:val="-10"/>
      <w:kern w:val="28"/>
      <w:sz w:val="56"/>
      <w:szCs w:val="56"/>
    </w:rPr>
  </w:style>
  <w:style w:type="paragraph" w:customStyle="1" w:styleId="Default">
    <w:name w:val="Default"/>
    <w:rsid w:val="00B52765"/>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semiHidden/>
    <w:unhideWhenUsed/>
    <w:rsid w:val="00B52765"/>
    <w:rPr>
      <w:sz w:val="16"/>
      <w:szCs w:val="16"/>
    </w:rPr>
  </w:style>
  <w:style w:type="paragraph" w:styleId="Textocomentario">
    <w:name w:val="annotation text"/>
    <w:basedOn w:val="Normal"/>
    <w:link w:val="TextocomentarioCar"/>
    <w:unhideWhenUsed/>
    <w:rsid w:val="00B52765"/>
    <w:rPr>
      <w:sz w:val="20"/>
      <w:szCs w:val="20"/>
    </w:rPr>
  </w:style>
  <w:style w:type="character" w:customStyle="1" w:styleId="TextocomentarioCar">
    <w:name w:val="Texto comentario Car"/>
    <w:basedOn w:val="Fuentedeprrafopredeter"/>
    <w:link w:val="Textocomentario"/>
    <w:rsid w:val="00B52765"/>
    <w:rPr>
      <w:rFonts w:ascii="Arial" w:hAnsi="Arial"/>
    </w:rPr>
  </w:style>
  <w:style w:type="paragraph" w:styleId="Asuntodelcomentario">
    <w:name w:val="annotation subject"/>
    <w:basedOn w:val="Textocomentario"/>
    <w:next w:val="Textocomentario"/>
    <w:link w:val="AsuntodelcomentarioCar"/>
    <w:semiHidden/>
    <w:unhideWhenUsed/>
    <w:rsid w:val="00FA24CE"/>
    <w:rPr>
      <w:b/>
      <w:bCs/>
    </w:rPr>
  </w:style>
  <w:style w:type="character" w:customStyle="1" w:styleId="AsuntodelcomentarioCar">
    <w:name w:val="Asunto del comentario Car"/>
    <w:basedOn w:val="TextocomentarioCar"/>
    <w:link w:val="Asuntodelcomentario"/>
    <w:semiHidden/>
    <w:rsid w:val="00FA24CE"/>
    <w:rPr>
      <w:rFonts w:ascii="Arial" w:hAnsi="Arial"/>
      <w:b/>
      <w:bCs/>
    </w:rPr>
  </w:style>
  <w:style w:type="paragraph" w:customStyle="1" w:styleId="parrafo1">
    <w:name w:val="parrafo1"/>
    <w:basedOn w:val="Normal"/>
    <w:rsid w:val="00CC2AEA"/>
    <w:pPr>
      <w:spacing w:before="180" w:after="180"/>
      <w:ind w:firstLine="360"/>
      <w:jc w:val="both"/>
    </w:pPr>
    <w:rPr>
      <w:rFonts w:ascii="Times New Roman" w:hAnsi="Times New Roman"/>
    </w:rPr>
  </w:style>
  <w:style w:type="paragraph" w:styleId="Revisin">
    <w:name w:val="Revision"/>
    <w:hidden/>
    <w:uiPriority w:val="99"/>
    <w:semiHidden/>
    <w:rsid w:val="009D666B"/>
    <w:rPr>
      <w:rFonts w:ascii="Arial" w:hAnsi="Arial"/>
      <w:sz w:val="24"/>
      <w:szCs w:val="24"/>
    </w:rPr>
  </w:style>
  <w:style w:type="character" w:customStyle="1" w:styleId="PiedepginaCar">
    <w:name w:val="Pie de página Car"/>
    <w:basedOn w:val="Fuentedeprrafopredeter"/>
    <w:link w:val="Piedepgina"/>
    <w:uiPriority w:val="99"/>
    <w:rsid w:val="000268E2"/>
    <w:rPr>
      <w:rFonts w:ascii="Arial" w:hAnsi="Arial"/>
      <w:sz w:val="24"/>
      <w:szCs w:val="24"/>
    </w:rPr>
  </w:style>
  <w:style w:type="character" w:styleId="Mencinsinresolver">
    <w:name w:val="Unresolved Mention"/>
    <w:basedOn w:val="Fuentedeprrafopredeter"/>
    <w:uiPriority w:val="99"/>
    <w:semiHidden/>
    <w:unhideWhenUsed/>
    <w:rsid w:val="006B5796"/>
    <w:rPr>
      <w:color w:val="605E5C"/>
      <w:shd w:val="clear" w:color="auto" w:fill="E1DFDD"/>
    </w:rPr>
  </w:style>
  <w:style w:type="character" w:styleId="Hipervnculovisitado">
    <w:name w:val="FollowedHyperlink"/>
    <w:basedOn w:val="Fuentedeprrafopredeter"/>
    <w:semiHidden/>
    <w:unhideWhenUsed/>
    <w:rsid w:val="00490E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91015">
      <w:bodyDiv w:val="1"/>
      <w:marLeft w:val="0"/>
      <w:marRight w:val="0"/>
      <w:marTop w:val="0"/>
      <w:marBottom w:val="0"/>
      <w:divBdr>
        <w:top w:val="none" w:sz="0" w:space="0" w:color="auto"/>
        <w:left w:val="none" w:sz="0" w:space="0" w:color="auto"/>
        <w:bottom w:val="none" w:sz="0" w:space="0" w:color="auto"/>
        <w:right w:val="none" w:sz="0" w:space="0" w:color="auto"/>
      </w:divBdr>
    </w:div>
    <w:div w:id="217057467">
      <w:bodyDiv w:val="1"/>
      <w:marLeft w:val="0"/>
      <w:marRight w:val="0"/>
      <w:marTop w:val="0"/>
      <w:marBottom w:val="0"/>
      <w:divBdr>
        <w:top w:val="none" w:sz="0" w:space="0" w:color="auto"/>
        <w:left w:val="none" w:sz="0" w:space="0" w:color="auto"/>
        <w:bottom w:val="none" w:sz="0" w:space="0" w:color="auto"/>
        <w:right w:val="none" w:sz="0" w:space="0" w:color="auto"/>
      </w:divBdr>
    </w:div>
    <w:div w:id="328145654">
      <w:bodyDiv w:val="1"/>
      <w:marLeft w:val="0"/>
      <w:marRight w:val="0"/>
      <w:marTop w:val="0"/>
      <w:marBottom w:val="0"/>
      <w:divBdr>
        <w:top w:val="none" w:sz="0" w:space="0" w:color="auto"/>
        <w:left w:val="none" w:sz="0" w:space="0" w:color="auto"/>
        <w:bottom w:val="none" w:sz="0" w:space="0" w:color="auto"/>
        <w:right w:val="none" w:sz="0" w:space="0" w:color="auto"/>
      </w:divBdr>
      <w:divsChild>
        <w:div w:id="882599720">
          <w:marLeft w:val="0"/>
          <w:marRight w:val="0"/>
          <w:marTop w:val="0"/>
          <w:marBottom w:val="0"/>
          <w:divBdr>
            <w:top w:val="none" w:sz="0" w:space="0" w:color="auto"/>
            <w:left w:val="none" w:sz="0" w:space="0" w:color="auto"/>
            <w:bottom w:val="none" w:sz="0" w:space="0" w:color="auto"/>
            <w:right w:val="none" w:sz="0" w:space="0" w:color="auto"/>
          </w:divBdr>
          <w:divsChild>
            <w:div w:id="192426272">
              <w:marLeft w:val="0"/>
              <w:marRight w:val="0"/>
              <w:marTop w:val="0"/>
              <w:marBottom w:val="0"/>
              <w:divBdr>
                <w:top w:val="none" w:sz="0" w:space="0" w:color="auto"/>
                <w:left w:val="none" w:sz="0" w:space="0" w:color="auto"/>
                <w:bottom w:val="none" w:sz="0" w:space="0" w:color="auto"/>
                <w:right w:val="none" w:sz="0" w:space="0" w:color="auto"/>
              </w:divBdr>
              <w:divsChild>
                <w:div w:id="513229425">
                  <w:marLeft w:val="0"/>
                  <w:marRight w:val="0"/>
                  <w:marTop w:val="0"/>
                  <w:marBottom w:val="0"/>
                  <w:divBdr>
                    <w:top w:val="none" w:sz="0" w:space="0" w:color="auto"/>
                    <w:left w:val="none" w:sz="0" w:space="0" w:color="auto"/>
                    <w:bottom w:val="none" w:sz="0" w:space="0" w:color="auto"/>
                    <w:right w:val="none" w:sz="0" w:space="0" w:color="auto"/>
                  </w:divBdr>
                  <w:divsChild>
                    <w:div w:id="84807475">
                      <w:marLeft w:val="0"/>
                      <w:marRight w:val="0"/>
                      <w:marTop w:val="0"/>
                      <w:marBottom w:val="0"/>
                      <w:divBdr>
                        <w:top w:val="none" w:sz="0" w:space="0" w:color="auto"/>
                        <w:left w:val="none" w:sz="0" w:space="0" w:color="auto"/>
                        <w:bottom w:val="none" w:sz="0" w:space="0" w:color="auto"/>
                        <w:right w:val="none" w:sz="0" w:space="0" w:color="auto"/>
                      </w:divBdr>
                      <w:divsChild>
                        <w:div w:id="1352804391">
                          <w:marLeft w:val="0"/>
                          <w:marRight w:val="0"/>
                          <w:marTop w:val="0"/>
                          <w:marBottom w:val="0"/>
                          <w:divBdr>
                            <w:top w:val="none" w:sz="0" w:space="0" w:color="auto"/>
                            <w:left w:val="none" w:sz="0" w:space="0" w:color="auto"/>
                            <w:bottom w:val="none" w:sz="0" w:space="0" w:color="auto"/>
                            <w:right w:val="none" w:sz="0" w:space="0" w:color="auto"/>
                          </w:divBdr>
                          <w:divsChild>
                            <w:div w:id="16502039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376858191">
      <w:bodyDiv w:val="1"/>
      <w:marLeft w:val="0"/>
      <w:marRight w:val="0"/>
      <w:marTop w:val="0"/>
      <w:marBottom w:val="0"/>
      <w:divBdr>
        <w:top w:val="none" w:sz="0" w:space="0" w:color="auto"/>
        <w:left w:val="none" w:sz="0" w:space="0" w:color="auto"/>
        <w:bottom w:val="none" w:sz="0" w:space="0" w:color="auto"/>
        <w:right w:val="none" w:sz="0" w:space="0" w:color="auto"/>
      </w:divBdr>
    </w:div>
    <w:div w:id="465509200">
      <w:bodyDiv w:val="1"/>
      <w:marLeft w:val="0"/>
      <w:marRight w:val="0"/>
      <w:marTop w:val="0"/>
      <w:marBottom w:val="0"/>
      <w:divBdr>
        <w:top w:val="none" w:sz="0" w:space="0" w:color="auto"/>
        <w:left w:val="none" w:sz="0" w:space="0" w:color="auto"/>
        <w:bottom w:val="none" w:sz="0" w:space="0" w:color="auto"/>
        <w:right w:val="none" w:sz="0" w:space="0" w:color="auto"/>
      </w:divBdr>
    </w:div>
    <w:div w:id="470825063">
      <w:bodyDiv w:val="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30177236">
              <w:marLeft w:val="0"/>
              <w:marRight w:val="0"/>
              <w:marTop w:val="0"/>
              <w:marBottom w:val="0"/>
              <w:divBdr>
                <w:top w:val="none" w:sz="0" w:space="0" w:color="auto"/>
                <w:left w:val="none" w:sz="0" w:space="0" w:color="auto"/>
                <w:bottom w:val="none" w:sz="0" w:space="0" w:color="auto"/>
                <w:right w:val="none" w:sz="0" w:space="0" w:color="auto"/>
              </w:divBdr>
              <w:divsChild>
                <w:div w:id="1210260369">
                  <w:marLeft w:val="0"/>
                  <w:marRight w:val="0"/>
                  <w:marTop w:val="0"/>
                  <w:marBottom w:val="0"/>
                  <w:divBdr>
                    <w:top w:val="none" w:sz="0" w:space="0" w:color="auto"/>
                    <w:left w:val="none" w:sz="0" w:space="0" w:color="auto"/>
                    <w:bottom w:val="none" w:sz="0" w:space="0" w:color="auto"/>
                    <w:right w:val="none" w:sz="0" w:space="0" w:color="auto"/>
                  </w:divBdr>
                  <w:divsChild>
                    <w:div w:id="1500462363">
                      <w:marLeft w:val="0"/>
                      <w:marRight w:val="0"/>
                      <w:marTop w:val="0"/>
                      <w:marBottom w:val="0"/>
                      <w:divBdr>
                        <w:top w:val="none" w:sz="0" w:space="0" w:color="auto"/>
                        <w:left w:val="none" w:sz="0" w:space="0" w:color="auto"/>
                        <w:bottom w:val="none" w:sz="0" w:space="0" w:color="auto"/>
                        <w:right w:val="none" w:sz="0" w:space="0" w:color="auto"/>
                      </w:divBdr>
                      <w:divsChild>
                        <w:div w:id="879517088">
                          <w:marLeft w:val="0"/>
                          <w:marRight w:val="0"/>
                          <w:marTop w:val="0"/>
                          <w:marBottom w:val="0"/>
                          <w:divBdr>
                            <w:top w:val="none" w:sz="0" w:space="0" w:color="auto"/>
                            <w:left w:val="none" w:sz="0" w:space="0" w:color="auto"/>
                            <w:bottom w:val="none" w:sz="0" w:space="0" w:color="auto"/>
                            <w:right w:val="none" w:sz="0" w:space="0" w:color="auto"/>
                          </w:divBdr>
                          <w:divsChild>
                            <w:div w:id="151749680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477262063">
      <w:bodyDiv w:val="1"/>
      <w:marLeft w:val="0"/>
      <w:marRight w:val="0"/>
      <w:marTop w:val="0"/>
      <w:marBottom w:val="0"/>
      <w:divBdr>
        <w:top w:val="none" w:sz="0" w:space="0" w:color="auto"/>
        <w:left w:val="none" w:sz="0" w:space="0" w:color="auto"/>
        <w:bottom w:val="none" w:sz="0" w:space="0" w:color="auto"/>
        <w:right w:val="none" w:sz="0" w:space="0" w:color="auto"/>
      </w:divBdr>
    </w:div>
    <w:div w:id="564417928">
      <w:bodyDiv w:val="1"/>
      <w:marLeft w:val="0"/>
      <w:marRight w:val="0"/>
      <w:marTop w:val="0"/>
      <w:marBottom w:val="0"/>
      <w:divBdr>
        <w:top w:val="none" w:sz="0" w:space="0" w:color="auto"/>
        <w:left w:val="none" w:sz="0" w:space="0" w:color="auto"/>
        <w:bottom w:val="none" w:sz="0" w:space="0" w:color="auto"/>
        <w:right w:val="none" w:sz="0" w:space="0" w:color="auto"/>
      </w:divBdr>
    </w:div>
    <w:div w:id="740519056">
      <w:bodyDiv w:val="1"/>
      <w:marLeft w:val="0"/>
      <w:marRight w:val="0"/>
      <w:marTop w:val="0"/>
      <w:marBottom w:val="0"/>
      <w:divBdr>
        <w:top w:val="none" w:sz="0" w:space="0" w:color="auto"/>
        <w:left w:val="none" w:sz="0" w:space="0" w:color="auto"/>
        <w:bottom w:val="none" w:sz="0" w:space="0" w:color="auto"/>
        <w:right w:val="none" w:sz="0" w:space="0" w:color="auto"/>
      </w:divBdr>
    </w:div>
    <w:div w:id="861288087">
      <w:bodyDiv w:val="1"/>
      <w:marLeft w:val="0"/>
      <w:marRight w:val="0"/>
      <w:marTop w:val="0"/>
      <w:marBottom w:val="0"/>
      <w:divBdr>
        <w:top w:val="none" w:sz="0" w:space="0" w:color="auto"/>
        <w:left w:val="none" w:sz="0" w:space="0" w:color="auto"/>
        <w:bottom w:val="none" w:sz="0" w:space="0" w:color="auto"/>
        <w:right w:val="none" w:sz="0" w:space="0" w:color="auto"/>
      </w:divBdr>
      <w:divsChild>
        <w:div w:id="1000428401">
          <w:marLeft w:val="0"/>
          <w:marRight w:val="0"/>
          <w:marTop w:val="0"/>
          <w:marBottom w:val="0"/>
          <w:divBdr>
            <w:top w:val="none" w:sz="0" w:space="0" w:color="auto"/>
            <w:left w:val="none" w:sz="0" w:space="0" w:color="auto"/>
            <w:bottom w:val="none" w:sz="0" w:space="0" w:color="auto"/>
            <w:right w:val="none" w:sz="0" w:space="0" w:color="auto"/>
          </w:divBdr>
          <w:divsChild>
            <w:div w:id="1950548363">
              <w:marLeft w:val="0"/>
              <w:marRight w:val="0"/>
              <w:marTop w:val="0"/>
              <w:marBottom w:val="0"/>
              <w:divBdr>
                <w:top w:val="none" w:sz="0" w:space="0" w:color="auto"/>
                <w:left w:val="none" w:sz="0" w:space="0" w:color="auto"/>
                <w:bottom w:val="none" w:sz="0" w:space="0" w:color="auto"/>
                <w:right w:val="none" w:sz="0" w:space="0" w:color="auto"/>
              </w:divBdr>
              <w:divsChild>
                <w:div w:id="89350961">
                  <w:marLeft w:val="0"/>
                  <w:marRight w:val="0"/>
                  <w:marTop w:val="0"/>
                  <w:marBottom w:val="0"/>
                  <w:divBdr>
                    <w:top w:val="none" w:sz="0" w:space="0" w:color="auto"/>
                    <w:left w:val="none" w:sz="0" w:space="0" w:color="auto"/>
                    <w:bottom w:val="none" w:sz="0" w:space="0" w:color="auto"/>
                    <w:right w:val="none" w:sz="0" w:space="0" w:color="auto"/>
                  </w:divBdr>
                  <w:divsChild>
                    <w:div w:id="387605528">
                      <w:marLeft w:val="0"/>
                      <w:marRight w:val="0"/>
                      <w:marTop w:val="0"/>
                      <w:marBottom w:val="0"/>
                      <w:divBdr>
                        <w:top w:val="none" w:sz="0" w:space="0" w:color="auto"/>
                        <w:left w:val="none" w:sz="0" w:space="0" w:color="auto"/>
                        <w:bottom w:val="none" w:sz="0" w:space="0" w:color="auto"/>
                        <w:right w:val="none" w:sz="0" w:space="0" w:color="auto"/>
                      </w:divBdr>
                      <w:divsChild>
                        <w:div w:id="1270508062">
                          <w:marLeft w:val="0"/>
                          <w:marRight w:val="0"/>
                          <w:marTop w:val="0"/>
                          <w:marBottom w:val="0"/>
                          <w:divBdr>
                            <w:top w:val="none" w:sz="0" w:space="0" w:color="auto"/>
                            <w:left w:val="none" w:sz="0" w:space="0" w:color="auto"/>
                            <w:bottom w:val="none" w:sz="0" w:space="0" w:color="auto"/>
                            <w:right w:val="none" w:sz="0" w:space="0" w:color="auto"/>
                          </w:divBdr>
                          <w:divsChild>
                            <w:div w:id="1064909340">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474636571">
      <w:bodyDiv w:val="1"/>
      <w:marLeft w:val="0"/>
      <w:marRight w:val="0"/>
      <w:marTop w:val="0"/>
      <w:marBottom w:val="0"/>
      <w:divBdr>
        <w:top w:val="none" w:sz="0" w:space="0" w:color="auto"/>
        <w:left w:val="none" w:sz="0" w:space="0" w:color="auto"/>
        <w:bottom w:val="none" w:sz="0" w:space="0" w:color="auto"/>
        <w:right w:val="none" w:sz="0" w:space="0" w:color="auto"/>
      </w:divBdr>
      <w:divsChild>
        <w:div w:id="1723867267">
          <w:marLeft w:val="0"/>
          <w:marRight w:val="0"/>
          <w:marTop w:val="0"/>
          <w:marBottom w:val="0"/>
          <w:divBdr>
            <w:top w:val="none" w:sz="0" w:space="0" w:color="auto"/>
            <w:left w:val="none" w:sz="0" w:space="0" w:color="auto"/>
            <w:bottom w:val="none" w:sz="0" w:space="0" w:color="auto"/>
            <w:right w:val="none" w:sz="0" w:space="0" w:color="auto"/>
          </w:divBdr>
          <w:divsChild>
            <w:div w:id="1198279881">
              <w:marLeft w:val="0"/>
              <w:marRight w:val="0"/>
              <w:marTop w:val="0"/>
              <w:marBottom w:val="0"/>
              <w:divBdr>
                <w:top w:val="none" w:sz="0" w:space="0" w:color="auto"/>
                <w:left w:val="none" w:sz="0" w:space="0" w:color="auto"/>
                <w:bottom w:val="none" w:sz="0" w:space="0" w:color="auto"/>
                <w:right w:val="none" w:sz="0" w:space="0" w:color="auto"/>
              </w:divBdr>
              <w:divsChild>
                <w:div w:id="1354452562">
                  <w:marLeft w:val="0"/>
                  <w:marRight w:val="0"/>
                  <w:marTop w:val="0"/>
                  <w:marBottom w:val="0"/>
                  <w:divBdr>
                    <w:top w:val="none" w:sz="0" w:space="0" w:color="auto"/>
                    <w:left w:val="none" w:sz="0" w:space="0" w:color="auto"/>
                    <w:bottom w:val="none" w:sz="0" w:space="0" w:color="auto"/>
                    <w:right w:val="none" w:sz="0" w:space="0" w:color="auto"/>
                  </w:divBdr>
                  <w:divsChild>
                    <w:div w:id="973561624">
                      <w:marLeft w:val="0"/>
                      <w:marRight w:val="0"/>
                      <w:marTop w:val="0"/>
                      <w:marBottom w:val="0"/>
                      <w:divBdr>
                        <w:top w:val="none" w:sz="0" w:space="0" w:color="auto"/>
                        <w:left w:val="none" w:sz="0" w:space="0" w:color="auto"/>
                        <w:bottom w:val="none" w:sz="0" w:space="0" w:color="auto"/>
                        <w:right w:val="none" w:sz="0" w:space="0" w:color="auto"/>
                      </w:divBdr>
                      <w:divsChild>
                        <w:div w:id="1144198300">
                          <w:marLeft w:val="0"/>
                          <w:marRight w:val="0"/>
                          <w:marTop w:val="0"/>
                          <w:marBottom w:val="0"/>
                          <w:divBdr>
                            <w:top w:val="none" w:sz="0" w:space="0" w:color="auto"/>
                            <w:left w:val="none" w:sz="0" w:space="0" w:color="auto"/>
                            <w:bottom w:val="none" w:sz="0" w:space="0" w:color="auto"/>
                            <w:right w:val="none" w:sz="0" w:space="0" w:color="auto"/>
                          </w:divBdr>
                          <w:divsChild>
                            <w:div w:id="1350370876">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623926447">
      <w:bodyDiv w:val="1"/>
      <w:marLeft w:val="0"/>
      <w:marRight w:val="0"/>
      <w:marTop w:val="0"/>
      <w:marBottom w:val="0"/>
      <w:divBdr>
        <w:top w:val="none" w:sz="0" w:space="0" w:color="auto"/>
        <w:left w:val="none" w:sz="0" w:space="0" w:color="auto"/>
        <w:bottom w:val="none" w:sz="0" w:space="0" w:color="auto"/>
        <w:right w:val="none" w:sz="0" w:space="0" w:color="auto"/>
      </w:divBdr>
      <w:divsChild>
        <w:div w:id="207763502">
          <w:marLeft w:val="0"/>
          <w:marRight w:val="0"/>
          <w:marTop w:val="0"/>
          <w:marBottom w:val="0"/>
          <w:divBdr>
            <w:top w:val="none" w:sz="0" w:space="0" w:color="auto"/>
            <w:left w:val="none" w:sz="0" w:space="0" w:color="auto"/>
            <w:bottom w:val="none" w:sz="0" w:space="0" w:color="auto"/>
            <w:right w:val="none" w:sz="0" w:space="0" w:color="auto"/>
          </w:divBdr>
          <w:divsChild>
            <w:div w:id="59063878">
              <w:marLeft w:val="0"/>
              <w:marRight w:val="0"/>
              <w:marTop w:val="0"/>
              <w:marBottom w:val="0"/>
              <w:divBdr>
                <w:top w:val="none" w:sz="0" w:space="0" w:color="auto"/>
                <w:left w:val="none" w:sz="0" w:space="0" w:color="auto"/>
                <w:bottom w:val="none" w:sz="0" w:space="0" w:color="auto"/>
                <w:right w:val="none" w:sz="0" w:space="0" w:color="auto"/>
              </w:divBdr>
              <w:divsChild>
                <w:div w:id="302467404">
                  <w:marLeft w:val="0"/>
                  <w:marRight w:val="0"/>
                  <w:marTop w:val="0"/>
                  <w:marBottom w:val="0"/>
                  <w:divBdr>
                    <w:top w:val="none" w:sz="0" w:space="0" w:color="auto"/>
                    <w:left w:val="none" w:sz="0" w:space="0" w:color="auto"/>
                    <w:bottom w:val="none" w:sz="0" w:space="0" w:color="auto"/>
                    <w:right w:val="none" w:sz="0" w:space="0" w:color="auto"/>
                  </w:divBdr>
                  <w:divsChild>
                    <w:div w:id="232352229">
                      <w:marLeft w:val="0"/>
                      <w:marRight w:val="0"/>
                      <w:marTop w:val="0"/>
                      <w:marBottom w:val="0"/>
                      <w:divBdr>
                        <w:top w:val="none" w:sz="0" w:space="0" w:color="auto"/>
                        <w:left w:val="none" w:sz="0" w:space="0" w:color="auto"/>
                        <w:bottom w:val="none" w:sz="0" w:space="0" w:color="auto"/>
                        <w:right w:val="none" w:sz="0" w:space="0" w:color="auto"/>
                      </w:divBdr>
                      <w:divsChild>
                        <w:div w:id="1724407478">
                          <w:marLeft w:val="0"/>
                          <w:marRight w:val="0"/>
                          <w:marTop w:val="0"/>
                          <w:marBottom w:val="0"/>
                          <w:divBdr>
                            <w:top w:val="none" w:sz="0" w:space="0" w:color="auto"/>
                            <w:left w:val="none" w:sz="0" w:space="0" w:color="auto"/>
                            <w:bottom w:val="none" w:sz="0" w:space="0" w:color="auto"/>
                            <w:right w:val="none" w:sz="0" w:space="0" w:color="auto"/>
                          </w:divBdr>
                          <w:divsChild>
                            <w:div w:id="1410882792">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695381078">
      <w:bodyDiv w:val="1"/>
      <w:marLeft w:val="0"/>
      <w:marRight w:val="0"/>
      <w:marTop w:val="0"/>
      <w:marBottom w:val="0"/>
      <w:divBdr>
        <w:top w:val="none" w:sz="0" w:space="0" w:color="auto"/>
        <w:left w:val="none" w:sz="0" w:space="0" w:color="auto"/>
        <w:bottom w:val="none" w:sz="0" w:space="0" w:color="auto"/>
        <w:right w:val="none" w:sz="0" w:space="0" w:color="auto"/>
      </w:divBdr>
    </w:div>
    <w:div w:id="2017609352">
      <w:bodyDiv w:val="1"/>
      <w:marLeft w:val="0"/>
      <w:marRight w:val="0"/>
      <w:marTop w:val="0"/>
      <w:marBottom w:val="0"/>
      <w:divBdr>
        <w:top w:val="none" w:sz="0" w:space="0" w:color="auto"/>
        <w:left w:val="none" w:sz="0" w:space="0" w:color="auto"/>
        <w:bottom w:val="none" w:sz="0" w:space="0" w:color="auto"/>
        <w:right w:val="none" w:sz="0" w:space="0" w:color="auto"/>
      </w:divBdr>
      <w:divsChild>
        <w:div w:id="492913271">
          <w:marLeft w:val="0"/>
          <w:marRight w:val="0"/>
          <w:marTop w:val="0"/>
          <w:marBottom w:val="0"/>
          <w:divBdr>
            <w:top w:val="none" w:sz="0" w:space="0" w:color="auto"/>
            <w:left w:val="none" w:sz="0" w:space="0" w:color="auto"/>
            <w:bottom w:val="none" w:sz="0" w:space="0" w:color="auto"/>
            <w:right w:val="none" w:sz="0" w:space="0" w:color="auto"/>
          </w:divBdr>
          <w:divsChild>
            <w:div w:id="392703857">
              <w:marLeft w:val="0"/>
              <w:marRight w:val="0"/>
              <w:marTop w:val="0"/>
              <w:marBottom w:val="0"/>
              <w:divBdr>
                <w:top w:val="none" w:sz="0" w:space="0" w:color="auto"/>
                <w:left w:val="none" w:sz="0" w:space="0" w:color="auto"/>
                <w:bottom w:val="none" w:sz="0" w:space="0" w:color="auto"/>
                <w:right w:val="none" w:sz="0" w:space="0" w:color="auto"/>
              </w:divBdr>
              <w:divsChild>
                <w:div w:id="882400109">
                  <w:marLeft w:val="0"/>
                  <w:marRight w:val="0"/>
                  <w:marTop w:val="0"/>
                  <w:marBottom w:val="0"/>
                  <w:divBdr>
                    <w:top w:val="none" w:sz="0" w:space="0" w:color="auto"/>
                    <w:left w:val="none" w:sz="0" w:space="0" w:color="auto"/>
                    <w:bottom w:val="none" w:sz="0" w:space="0" w:color="auto"/>
                    <w:right w:val="none" w:sz="0" w:space="0" w:color="auto"/>
                  </w:divBdr>
                  <w:divsChild>
                    <w:div w:id="1139541511">
                      <w:marLeft w:val="0"/>
                      <w:marRight w:val="0"/>
                      <w:marTop w:val="0"/>
                      <w:marBottom w:val="0"/>
                      <w:divBdr>
                        <w:top w:val="none" w:sz="0" w:space="0" w:color="auto"/>
                        <w:left w:val="none" w:sz="0" w:space="0" w:color="auto"/>
                        <w:bottom w:val="none" w:sz="0" w:space="0" w:color="auto"/>
                        <w:right w:val="none" w:sz="0" w:space="0" w:color="auto"/>
                      </w:divBdr>
                      <w:divsChild>
                        <w:div w:id="1393238590">
                          <w:marLeft w:val="0"/>
                          <w:marRight w:val="0"/>
                          <w:marTop w:val="0"/>
                          <w:marBottom w:val="0"/>
                          <w:divBdr>
                            <w:top w:val="none" w:sz="0" w:space="0" w:color="auto"/>
                            <w:left w:val="none" w:sz="0" w:space="0" w:color="auto"/>
                            <w:bottom w:val="none" w:sz="0" w:space="0" w:color="auto"/>
                            <w:right w:val="none" w:sz="0" w:space="0" w:color="auto"/>
                          </w:divBdr>
                          <w:divsChild>
                            <w:div w:id="808860782">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better-regulation/have-your-say/initiatives/14176-Comercio-de-residuos-de-aparatos-electricos-y-electronicos-1-enmiendas-a-los-anexos-del-Convenio-de-Basilea_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asel.int/Implementation/Ewaste/EwasteAmendments/EwasteAmendmentsFAQs/tabid/10107/Default.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europa.eu/info/law/better-regulation/have-your-say/initiatives/14174-Comercio-de-residuos-de-aparatos-electricos-y-electronicos-2-enmiendas-a-los-anexos-del-Convenio-de-Basilea_e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591</Words>
  <Characters>3255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D</vt:lpstr>
    </vt:vector>
  </TitlesOfParts>
  <Company>Ministerio de Medio Ambiente</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cduran</dc:creator>
  <cp:lastModifiedBy>del Moral Vargas, Laura</cp:lastModifiedBy>
  <cp:revision>7</cp:revision>
  <cp:lastPrinted>2018-03-21T08:06:00Z</cp:lastPrinted>
  <dcterms:created xsi:type="dcterms:W3CDTF">2024-12-18T11:35:00Z</dcterms:created>
  <dcterms:modified xsi:type="dcterms:W3CDTF">2024-12-18T12:10:00Z</dcterms:modified>
</cp:coreProperties>
</file>